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2847" w14:textId="77777777" w:rsidR="00F800B3" w:rsidRDefault="00F800B3">
      <w:pPr>
        <w:spacing w:before="120"/>
      </w:pPr>
    </w:p>
    <w:p w14:paraId="2FCA31D7" w14:textId="77777777" w:rsidR="00F800B3" w:rsidRDefault="00D44A35">
      <w:pPr>
        <w:spacing w:after="60"/>
      </w:pPr>
      <w:r>
        <w:rPr>
          <w:b/>
          <w:bCs/>
          <w:color w:val="1F3864"/>
          <w:sz w:val="40"/>
          <w:szCs w:val="40"/>
        </w:rPr>
        <w:t>Institutional Capacity Expansion Lab</w:t>
      </w:r>
    </w:p>
    <w:p w14:paraId="7AE6DD4B" w14:textId="1B46FDE1" w:rsidR="00F800B3" w:rsidRDefault="00D44A35">
      <w:pPr>
        <w:spacing w:after="40"/>
      </w:pPr>
      <w:r>
        <w:rPr>
          <w:color w:val="2E5FA3"/>
          <w:sz w:val="28"/>
          <w:szCs w:val="28"/>
        </w:rPr>
        <w:t xml:space="preserve">Presidential </w:t>
      </w:r>
      <w:proofErr w:type="gramStart"/>
      <w:r>
        <w:rPr>
          <w:color w:val="2E5FA3"/>
          <w:sz w:val="28"/>
          <w:szCs w:val="28"/>
        </w:rPr>
        <w:t>Application  |</w:t>
      </w:r>
      <w:proofErr w:type="gramEnd"/>
      <w:r>
        <w:rPr>
          <w:color w:val="2E5FA3"/>
          <w:sz w:val="28"/>
          <w:szCs w:val="28"/>
        </w:rPr>
        <w:t xml:space="preserve">  </w:t>
      </w:r>
      <w:r w:rsidR="008544EC">
        <w:rPr>
          <w:color w:val="2E5FA3"/>
          <w:sz w:val="28"/>
          <w:szCs w:val="28"/>
        </w:rPr>
        <w:t xml:space="preserve">September </w:t>
      </w:r>
      <w:r>
        <w:rPr>
          <w:color w:val="2E5FA3"/>
          <w:sz w:val="28"/>
          <w:szCs w:val="28"/>
        </w:rPr>
        <w:t>2026–</w:t>
      </w:r>
      <w:r w:rsidR="008544EC">
        <w:rPr>
          <w:color w:val="2E5FA3"/>
          <w:sz w:val="28"/>
          <w:szCs w:val="28"/>
        </w:rPr>
        <w:t xml:space="preserve">August </w:t>
      </w:r>
      <w:r>
        <w:rPr>
          <w:color w:val="2E5FA3"/>
          <w:sz w:val="28"/>
          <w:szCs w:val="28"/>
        </w:rPr>
        <w:t>2027 Cohort</w:t>
      </w:r>
    </w:p>
    <w:p w14:paraId="05C47E6F" w14:textId="77777777" w:rsidR="00F800B3" w:rsidRDefault="00F800B3">
      <w:pPr>
        <w:pBdr>
          <w:bottom w:val="single" w:sz="8" w:space="1" w:color="2E5FA3"/>
        </w:pBdr>
        <w:spacing w:before="60" w:after="60"/>
      </w:pPr>
    </w:p>
    <w:p w14:paraId="5E332949" w14:textId="3A965A87" w:rsidR="00F800B3" w:rsidRDefault="00D44A35">
      <w:pPr>
        <w:spacing w:before="80" w:after="80"/>
      </w:pPr>
      <w:r>
        <w:rPr>
          <w:i/>
          <w:iCs/>
          <w:color w:val="666666"/>
          <w:sz w:val="20"/>
          <w:szCs w:val="20"/>
        </w:rPr>
        <w:t xml:space="preserve">Estimated completion time: 15–20 minutes </w:t>
      </w:r>
      <w:r w:rsidR="00771C1D">
        <w:rPr>
          <w:i/>
          <w:iCs/>
          <w:color w:val="666666"/>
          <w:sz w:val="20"/>
          <w:szCs w:val="20"/>
        </w:rPr>
        <w:t xml:space="preserve">– </w:t>
      </w:r>
      <w:r>
        <w:rPr>
          <w:i/>
          <w:iCs/>
          <w:color w:val="666666"/>
          <w:sz w:val="20"/>
          <w:szCs w:val="20"/>
        </w:rPr>
        <w:t>Sections may be completed with support from a designee</w:t>
      </w:r>
      <w:r w:rsidR="00771C1D">
        <w:rPr>
          <w:i/>
          <w:iCs/>
          <w:color w:val="666666"/>
          <w:sz w:val="20"/>
          <w:szCs w:val="20"/>
        </w:rPr>
        <w:t xml:space="preserve"> – </w:t>
      </w:r>
      <w:r w:rsidR="00771C1D" w:rsidRPr="00742ED6">
        <w:rPr>
          <w:b/>
          <w:bCs/>
          <w:i/>
          <w:iCs/>
          <w:color w:val="666666"/>
        </w:rPr>
        <w:t>Submission due</w:t>
      </w:r>
      <w:r w:rsidR="00742ED6">
        <w:rPr>
          <w:b/>
          <w:bCs/>
          <w:i/>
          <w:iCs/>
          <w:color w:val="666666"/>
        </w:rPr>
        <w:t xml:space="preserve"> by 11:59pm on</w:t>
      </w:r>
      <w:r w:rsidR="00771C1D" w:rsidRPr="00742ED6">
        <w:rPr>
          <w:b/>
          <w:bCs/>
          <w:i/>
          <w:iCs/>
          <w:color w:val="666666"/>
        </w:rPr>
        <w:t xml:space="preserve"> </w:t>
      </w:r>
      <w:r w:rsidR="00041745" w:rsidRPr="00742ED6">
        <w:rPr>
          <w:b/>
          <w:bCs/>
          <w:i/>
          <w:iCs/>
          <w:color w:val="666666"/>
        </w:rPr>
        <w:t>August 14</w:t>
      </w:r>
      <w:r w:rsidR="00771C1D" w:rsidRPr="00742ED6">
        <w:rPr>
          <w:b/>
          <w:bCs/>
          <w:i/>
          <w:iCs/>
          <w:color w:val="666666"/>
        </w:rPr>
        <w:t>, 2026</w:t>
      </w:r>
      <w:r w:rsidR="00742ED6">
        <w:rPr>
          <w:b/>
          <w:bCs/>
          <w:i/>
          <w:iCs/>
          <w:color w:val="666666"/>
        </w:rPr>
        <w:t xml:space="preserve"> </w:t>
      </w:r>
      <w:r w:rsidR="00742ED6">
        <w:rPr>
          <w:i/>
          <w:iCs/>
          <w:color w:val="666666"/>
          <w:sz w:val="20"/>
          <w:szCs w:val="20"/>
        </w:rPr>
        <w:t>–</w:t>
      </w:r>
      <w:r w:rsidR="00742ED6">
        <w:rPr>
          <w:i/>
          <w:iCs/>
          <w:color w:val="666666"/>
          <w:sz w:val="20"/>
          <w:szCs w:val="20"/>
        </w:rPr>
        <w:t xml:space="preserve"> Return the completed questionnaire to wil@bhef.com</w:t>
      </w:r>
    </w:p>
    <w:p w14:paraId="6BC3C1DD" w14:textId="77777777" w:rsidR="00F800B3" w:rsidRDefault="00F800B3">
      <w:pPr>
        <w:spacing w:before="60"/>
      </w:pPr>
    </w:p>
    <w:p w14:paraId="4FF12E26" w14:textId="5EC3CFFB" w:rsidR="00F800B3" w:rsidRDefault="00D44A35">
      <w:pPr>
        <w:pBdr>
          <w:left w:val="single" w:sz="16" w:space="6" w:color="2E5FA3"/>
        </w:pBdr>
        <w:shd w:val="clear" w:color="auto" w:fill="EEF3FA"/>
        <w:spacing w:before="60" w:after="80"/>
        <w:ind w:left="160" w:right="160"/>
      </w:pPr>
      <w:r>
        <w:t xml:space="preserve">We invite you to apply for one of six seats in </w:t>
      </w:r>
      <w:r w:rsidR="00BC688B">
        <w:t xml:space="preserve">the first cohort of </w:t>
      </w:r>
      <w:r>
        <w:t>BHEF’s ECMC-funded Institutional Capacity Expansion Lab</w:t>
      </w:r>
      <w:r w:rsidR="0023622D">
        <w:t xml:space="preserve">. The Lab is </w:t>
      </w:r>
      <w:r>
        <w:t xml:space="preserve">a selective, year-long initiative bringing together </w:t>
      </w:r>
      <w:r w:rsidR="0023622D">
        <w:t>institutional teams</w:t>
      </w:r>
      <w:r>
        <w:t xml:space="preserve"> to </w:t>
      </w:r>
      <w:r w:rsidR="0023622D">
        <w:t>strengthen</w:t>
      </w:r>
      <w:r>
        <w:t xml:space="preserve"> the infrastructure, partnerships, and strategy needed to make high-quality work-integrated learning (WIL) a reality for </w:t>
      </w:r>
      <w:r w:rsidR="00BD17F3">
        <w:t xml:space="preserve">many </w:t>
      </w:r>
      <w:r w:rsidR="00936845">
        <w:t>more students</w:t>
      </w:r>
      <w:r>
        <w:t>. WIL is a top priority for</w:t>
      </w:r>
      <w:r w:rsidR="00BD17F3">
        <w:t xml:space="preserve"> the</w:t>
      </w:r>
      <w:r>
        <w:t xml:space="preserve"> BHEF</w:t>
      </w:r>
      <w:r w:rsidR="00BD17F3">
        <w:t xml:space="preserve"> network</w:t>
      </w:r>
      <w:r>
        <w:t>, and this cohort is designed for institutions ready to lead the next generation of career-connected education.</w:t>
      </w:r>
      <w:r w:rsidR="0023622D">
        <w:t xml:space="preserve"> If you’re not able to participate in this cohort but would like to be considered for the second cohort (September 2027-August 2028), please let us know by emailing Candace Williams, Senior Director, Solutions Lab at </w:t>
      </w:r>
      <w:hyperlink r:id="rId7" w:history="1">
        <w:r w:rsidR="0023622D" w:rsidRPr="002A73D1">
          <w:rPr>
            <w:rStyle w:val="Hyperlink"/>
          </w:rPr>
          <w:t>candace.williams@bhef.com</w:t>
        </w:r>
      </w:hyperlink>
      <w:r w:rsidR="0023622D">
        <w:t xml:space="preserve">. </w:t>
      </w:r>
    </w:p>
    <w:p w14:paraId="5977CA5A" w14:textId="77777777" w:rsidR="00F800B3" w:rsidRDefault="00F800B3">
      <w:pPr>
        <w:spacing w:before="200"/>
      </w:pPr>
    </w:p>
    <w:p w14:paraId="40CBBB45" w14:textId="0ED865FB" w:rsidR="00F800B3" w:rsidRDefault="00D44A35" w:rsidP="0023622D">
      <w:pPr>
        <w:shd w:val="clear" w:color="auto" w:fill="1F3864"/>
        <w:spacing w:after="80"/>
        <w:ind w:left="160" w:right="160"/>
      </w:pPr>
      <w:r>
        <w:rPr>
          <w:b/>
          <w:bCs/>
          <w:color w:val="FFFFFF"/>
          <w:sz w:val="26"/>
          <w:szCs w:val="26"/>
        </w:rPr>
        <w:t xml:space="preserve">  SECTION 1  |  ABOUT THE INITIATIVE</w:t>
      </w:r>
    </w:p>
    <w:p w14:paraId="62DC25BF" w14:textId="0EFCAF29" w:rsidR="00F800B3" w:rsidRDefault="00D44A35">
      <w:pPr>
        <w:spacing w:before="160" w:after="60"/>
      </w:pPr>
      <w:r>
        <w:rPr>
          <w:b/>
          <w:bCs/>
          <w:color w:val="2E5FA3"/>
          <w:sz w:val="24"/>
          <w:szCs w:val="24"/>
        </w:rPr>
        <w:t xml:space="preserve">Why WIL Matters </w:t>
      </w:r>
      <w:r w:rsidR="0023622D">
        <w:rPr>
          <w:b/>
          <w:bCs/>
          <w:color w:val="2E5FA3"/>
          <w:sz w:val="24"/>
          <w:szCs w:val="24"/>
        </w:rPr>
        <w:t>Now</w:t>
      </w:r>
    </w:p>
    <w:p w14:paraId="32A10EDE" w14:textId="55442E76" w:rsidR="00F800B3" w:rsidRDefault="00D44A35">
      <w:pPr>
        <w:spacing w:before="60" w:after="60"/>
      </w:pPr>
      <w:r>
        <w:t>Research consistently shows that students who engage in work-integrated learning</w:t>
      </w:r>
      <w:r w:rsidR="00BC688B">
        <w:t xml:space="preserve"> </w:t>
      </w:r>
      <w:r>
        <w:t xml:space="preserve">are significantly more likely to receive a job offer before graduation, earn higher starting salaries, and report stronger career clarity and confidence. Employers rank relevant work experience as the top factor when </w:t>
      </w:r>
      <w:r w:rsidR="0023622D">
        <w:t>hiring early career talent</w:t>
      </w:r>
      <w:r>
        <w:t xml:space="preserve">, above GPA and major. Yet today, access to these experiences remains profoundly unequal. In 2023, 8.2 million </w:t>
      </w:r>
      <w:r w:rsidR="0023622D">
        <w:t>learners</w:t>
      </w:r>
      <w:r>
        <w:t xml:space="preserve"> sought internships while only 3.6 million secured one—and nearly a third of those reported experiences lacking clarity, oversight, or meaningful skill development.</w:t>
      </w:r>
      <w:r w:rsidR="00BC688B">
        <w:t xml:space="preserve"> Other forms of WIL, such as industry-sponsored capstone and project-based learning courses, micro</w:t>
      </w:r>
      <w:r w:rsidR="00BD17F3">
        <w:t>-</w:t>
      </w:r>
      <w:r w:rsidR="00BC688B">
        <w:t xml:space="preserve">internships, etc. also offer the chance to gain meaningful professional experience at a lower barrier to entry for learners and employers, alike. </w:t>
      </w:r>
    </w:p>
    <w:p w14:paraId="6ADF8AF2" w14:textId="1BEC45CA" w:rsidR="00F800B3" w:rsidRDefault="00F800B3" w:rsidP="076D3E82">
      <w:pPr>
        <w:spacing w:before="60" w:after="60"/>
      </w:pPr>
    </w:p>
    <w:p w14:paraId="1CE251E3" w14:textId="77777777" w:rsidR="00F800B3" w:rsidRDefault="00D44A35">
      <w:pPr>
        <w:spacing w:before="160" w:after="60"/>
      </w:pPr>
      <w:r>
        <w:rPr>
          <w:b/>
          <w:bCs/>
          <w:color w:val="2E5FA3"/>
          <w:sz w:val="24"/>
          <w:szCs w:val="24"/>
        </w:rPr>
        <w:t>What Is the Institutional Capacity Expansion Lab?</w:t>
      </w:r>
    </w:p>
    <w:p w14:paraId="316C4190" w14:textId="41B6500F" w:rsidR="00F800B3" w:rsidRDefault="076D3E82">
      <w:pPr>
        <w:spacing w:before="60" w:after="60"/>
      </w:pPr>
      <w:r>
        <w:t>BHEF’s WIL Innovation Center is launching the Institutional Capacity Expansion Lab, supported by ECMC Foundation, which is a structured, year-long initiative partnering with cross-functional teams from 12 institutions across two consecutive cohorts of six. Each team will include leaders and practitioners from across the institution, including executive leadership, academic affairs, faculty, career services, and other key functions, to drive institution-wide change. Each cohort will engage in a collaborative design and implementation process grounded in BHEF’s field-tested tools and change management framework. The first cohort will engage institutions from September 2026-August 2027.</w:t>
      </w:r>
    </w:p>
    <w:p w14:paraId="4CE47D54" w14:textId="77777777" w:rsidR="00F800B3" w:rsidRDefault="00F800B3">
      <w:pPr>
        <w:spacing w:before="60"/>
      </w:pPr>
    </w:p>
    <w:p w14:paraId="065E87A0" w14:textId="77777777" w:rsidR="00742ED6" w:rsidRDefault="00742ED6">
      <w:pPr>
        <w:spacing w:before="60"/>
      </w:pPr>
    </w:p>
    <w:p w14:paraId="6925D6A4" w14:textId="77777777" w:rsidR="00742ED6" w:rsidRDefault="00742ED6">
      <w:pPr>
        <w:spacing w:before="60"/>
      </w:pPr>
    </w:p>
    <w:p w14:paraId="74A8E9C3" w14:textId="77777777" w:rsidR="00F800B3" w:rsidRDefault="00D44A35">
      <w:pPr>
        <w:spacing w:before="160" w:after="60"/>
      </w:pPr>
      <w:r>
        <w:rPr>
          <w:b/>
          <w:bCs/>
          <w:color w:val="2E5FA3"/>
          <w:sz w:val="24"/>
          <w:szCs w:val="24"/>
        </w:rPr>
        <w:lastRenderedPageBreak/>
        <w:t>Who Should Apply</w:t>
      </w:r>
    </w:p>
    <w:p w14:paraId="0F1CCD69" w14:textId="77777777" w:rsidR="00F800B3" w:rsidRDefault="00D44A35">
      <w:pPr>
        <w:spacing w:before="60" w:after="60"/>
      </w:pPr>
      <w:r>
        <w:t>This initiative is designed for institutions that are:</w:t>
      </w:r>
    </w:p>
    <w:p w14:paraId="5F00FA74" w14:textId="77777777" w:rsidR="00F800B3" w:rsidRDefault="00D44A35">
      <w:pPr>
        <w:pStyle w:val="ListParagraph"/>
        <w:numPr>
          <w:ilvl w:val="0"/>
          <w:numId w:val="2"/>
        </w:numPr>
        <w:spacing w:before="40" w:after="40"/>
      </w:pPr>
      <w:r>
        <w:t>Committed at the cabinet level to expanding WIL as a strategic institutional priority</w:t>
      </w:r>
    </w:p>
    <w:p w14:paraId="43950EA7" w14:textId="758B913F" w:rsidR="00F800B3" w:rsidRDefault="076D3E82">
      <w:pPr>
        <w:pStyle w:val="ListParagraph"/>
        <w:numPr>
          <w:ilvl w:val="0"/>
          <w:numId w:val="2"/>
        </w:numPr>
        <w:spacing w:before="40" w:after="40"/>
      </w:pPr>
      <w:r>
        <w:t xml:space="preserve">Serving meaningful proportions of learners </w:t>
      </w:r>
      <w:r w:rsidRPr="076D3E82">
        <w:t>who have historically faced barriers to accessing   and participating in career-connected opportunities</w:t>
      </w:r>
    </w:p>
    <w:p w14:paraId="0BBAC652" w14:textId="25C9496D" w:rsidR="008544EC" w:rsidRDefault="78506DDD" w:rsidP="008544EC">
      <w:pPr>
        <w:pStyle w:val="ListParagraph"/>
        <w:numPr>
          <w:ilvl w:val="0"/>
          <w:numId w:val="2"/>
        </w:numPr>
        <w:spacing w:before="40" w:after="40"/>
      </w:pPr>
      <w:r>
        <w:t>Ready to engage in cross-functional collaboration and organizational change</w:t>
      </w:r>
    </w:p>
    <w:p w14:paraId="649EB0D9" w14:textId="10AB66DF" w:rsidR="78506DDD" w:rsidRDefault="78506DDD" w:rsidP="78506DDD">
      <w:pPr>
        <w:pStyle w:val="ListParagraph"/>
        <w:numPr>
          <w:ilvl w:val="0"/>
          <w:numId w:val="2"/>
        </w:numPr>
        <w:spacing w:before="40" w:after="40"/>
      </w:pPr>
      <w:r w:rsidRPr="78506DDD">
        <w:t>At a pivotal stage in their WIL development, ready to expand access and build a more scalable, sustainable institutional approach</w:t>
      </w:r>
    </w:p>
    <w:p w14:paraId="02926B55" w14:textId="77777777" w:rsidR="00F800B3" w:rsidRDefault="00F800B3">
      <w:pPr>
        <w:spacing w:before="60"/>
      </w:pPr>
    </w:p>
    <w:p w14:paraId="462C47F0" w14:textId="77777777" w:rsidR="00F800B3" w:rsidRDefault="00D44A35">
      <w:pPr>
        <w:spacing w:before="160" w:after="60"/>
      </w:pPr>
      <w:r>
        <w:rPr>
          <w:b/>
          <w:bCs/>
          <w:color w:val="2E5FA3"/>
          <w:sz w:val="24"/>
          <w:szCs w:val="24"/>
        </w:rPr>
        <w:t>What Participating Institutions Will Receive</w:t>
      </w:r>
    </w:p>
    <w:p w14:paraId="2BD0948A" w14:textId="55D49E0E" w:rsidR="00F800B3" w:rsidRDefault="00D44A35">
      <w:pPr>
        <w:spacing w:before="60" w:after="60"/>
      </w:pPr>
      <w:r>
        <w:t>Selected institutions receive a comprehensive, high-touch engagement including expert coaching, peer learning, a customized WIL Vision and Action Plan, a proof-of-concept pilot, and up to $10,000 in direct sub-grant support. At the conclusion, each institution will have a customized playbook for delivering on the promise that every learner graduates with a WIL experience that counts to an employer.</w:t>
      </w:r>
    </w:p>
    <w:p w14:paraId="39068165" w14:textId="77777777" w:rsidR="00BC688B" w:rsidRDefault="00BC688B">
      <w:pPr>
        <w:spacing w:before="60" w:after="60"/>
      </w:pPr>
    </w:p>
    <w:p w14:paraId="6F1D83C1" w14:textId="4DE6FB26" w:rsidR="00BC688B" w:rsidRDefault="00BC688B">
      <w:pPr>
        <w:spacing w:before="60" w:after="60"/>
      </w:pPr>
      <w:r>
        <w:t>This engagement is designed to be high-value and manageable. Institutional teams should expect to meet with BHEF expert staff</w:t>
      </w:r>
      <w:r w:rsidR="00BD17F3">
        <w:t xml:space="preserve"> and senior advisors</w:t>
      </w:r>
      <w:r>
        <w:t xml:space="preserve">, coaches or cohort peers </w:t>
      </w:r>
      <w:proofErr w:type="gramStart"/>
      <w:r>
        <w:t>on a monthly basis</w:t>
      </w:r>
      <w:proofErr w:type="gramEnd"/>
      <w:r>
        <w:t xml:space="preserve"> </w:t>
      </w:r>
      <w:r w:rsidR="00306919">
        <w:t>throughout the year</w:t>
      </w:r>
      <w:r w:rsidR="00BD17F3">
        <w:t xml:space="preserve"> </w:t>
      </w:r>
      <w:r>
        <w:t>with limited pre-work expected in advance of key meetings and convenings.</w:t>
      </w:r>
    </w:p>
    <w:p w14:paraId="7BDF2E26" w14:textId="77777777" w:rsidR="00F800B3" w:rsidRDefault="00F800B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1C3D75" w14:paraId="51E4BD57" w14:textId="77777777">
        <w:trPr>
          <w:tblHeader/>
        </w:trPr>
        <w:tc>
          <w:tcPr>
            <w:tcW w:w="2200" w:type="dxa"/>
            <w:shd w:val="clear" w:color="auto" w:fill="1F3864"/>
            <w:tcMar>
              <w:top w:w="80" w:type="dxa"/>
              <w:left w:w="120" w:type="dxa"/>
              <w:bottom w:w="80" w:type="dxa"/>
              <w:right w:w="120" w:type="dxa"/>
            </w:tcMar>
          </w:tcPr>
          <w:p w14:paraId="3BFA549A" w14:textId="77777777" w:rsidR="00F800B3" w:rsidRDefault="00D44A35">
            <w:r>
              <w:rPr>
                <w:b/>
                <w:bCs/>
                <w:color w:val="FFFFFF"/>
                <w:sz w:val="20"/>
                <w:szCs w:val="20"/>
              </w:rPr>
              <w:t>What You’ll Receive</w:t>
            </w:r>
          </w:p>
        </w:tc>
        <w:tc>
          <w:tcPr>
            <w:tcW w:w="7160" w:type="dxa"/>
            <w:shd w:val="clear" w:color="auto" w:fill="1F3864"/>
            <w:tcMar>
              <w:top w:w="80" w:type="dxa"/>
              <w:left w:w="120" w:type="dxa"/>
              <w:bottom w:w="80" w:type="dxa"/>
              <w:right w:w="120" w:type="dxa"/>
            </w:tcMar>
          </w:tcPr>
          <w:p w14:paraId="0D8C67E6" w14:textId="77777777" w:rsidR="00F800B3" w:rsidRDefault="00D44A35">
            <w:r>
              <w:rPr>
                <w:b/>
                <w:bCs/>
                <w:color w:val="FFFFFF"/>
                <w:sz w:val="20"/>
                <w:szCs w:val="20"/>
              </w:rPr>
              <w:t>Description</w:t>
            </w:r>
          </w:p>
        </w:tc>
      </w:tr>
      <w:tr w:rsidR="001C3D75" w14:paraId="7A1C65CC" w14:textId="77777777">
        <w:tc>
          <w:tcPr>
            <w:tcW w:w="2200" w:type="dxa"/>
            <w:shd w:val="clear" w:color="auto" w:fill="D6E4F0"/>
            <w:tcMar>
              <w:top w:w="80" w:type="dxa"/>
              <w:left w:w="120" w:type="dxa"/>
              <w:bottom w:w="80" w:type="dxa"/>
              <w:right w:w="120" w:type="dxa"/>
            </w:tcMar>
          </w:tcPr>
          <w:p w14:paraId="1EC3AF20" w14:textId="77777777" w:rsidR="00F800B3" w:rsidRDefault="00D44A35">
            <w:r>
              <w:rPr>
                <w:b/>
                <w:bCs/>
                <w:color w:val="1F3864"/>
                <w:sz w:val="20"/>
                <w:szCs w:val="20"/>
              </w:rPr>
              <w:t>Strategic Diagnostic</w:t>
            </w:r>
          </w:p>
        </w:tc>
        <w:tc>
          <w:tcPr>
            <w:tcW w:w="7160" w:type="dxa"/>
            <w:tcMar>
              <w:top w:w="80" w:type="dxa"/>
              <w:left w:w="120" w:type="dxa"/>
              <w:bottom w:w="80" w:type="dxa"/>
              <w:right w:w="120" w:type="dxa"/>
            </w:tcMar>
          </w:tcPr>
          <w:p w14:paraId="542221C3" w14:textId="77777777" w:rsidR="00F800B3" w:rsidRDefault="00D44A35">
            <w:r>
              <w:rPr>
                <w:sz w:val="20"/>
                <w:szCs w:val="20"/>
              </w:rPr>
              <w:t>BHEF’s WIL Institutional Capacity Assessment, fully administered with a guided debrief, giving your team a clear, evidence-based picture of where to focus.</w:t>
            </w:r>
          </w:p>
        </w:tc>
      </w:tr>
      <w:tr w:rsidR="001C3D75" w14:paraId="24DC7592" w14:textId="77777777">
        <w:tc>
          <w:tcPr>
            <w:tcW w:w="2200" w:type="dxa"/>
            <w:shd w:val="clear" w:color="auto" w:fill="D6E4F0"/>
            <w:tcMar>
              <w:top w:w="80" w:type="dxa"/>
              <w:left w:w="120" w:type="dxa"/>
              <w:bottom w:w="80" w:type="dxa"/>
              <w:right w:w="120" w:type="dxa"/>
            </w:tcMar>
          </w:tcPr>
          <w:p w14:paraId="16D46870" w14:textId="77777777" w:rsidR="00F800B3" w:rsidRDefault="00D44A35">
            <w:r>
              <w:rPr>
                <w:b/>
                <w:bCs/>
                <w:color w:val="1F3864"/>
                <w:sz w:val="20"/>
                <w:szCs w:val="20"/>
              </w:rPr>
              <w:t>WIL Vision &amp; Action Plan</w:t>
            </w:r>
          </w:p>
        </w:tc>
        <w:tc>
          <w:tcPr>
            <w:tcW w:w="7160" w:type="dxa"/>
            <w:tcMar>
              <w:top w:w="80" w:type="dxa"/>
              <w:left w:w="120" w:type="dxa"/>
              <w:bottom w:w="80" w:type="dxa"/>
              <w:right w:w="120" w:type="dxa"/>
            </w:tcMar>
          </w:tcPr>
          <w:p w14:paraId="6DB7607C" w14:textId="77777777" w:rsidR="00F800B3" w:rsidRDefault="00D44A35">
            <w:r>
              <w:rPr>
                <w:sz w:val="20"/>
                <w:szCs w:val="20"/>
              </w:rPr>
              <w:t>A facilitated, institution-specific WIL Vision and Action Plan with at least three priority actions designed for long-term, institution-wide impact.</w:t>
            </w:r>
          </w:p>
        </w:tc>
      </w:tr>
      <w:tr w:rsidR="001C3D75" w14:paraId="1A5A3583" w14:textId="77777777">
        <w:tc>
          <w:tcPr>
            <w:tcW w:w="2200" w:type="dxa"/>
            <w:shd w:val="clear" w:color="auto" w:fill="D6E4F0"/>
            <w:tcMar>
              <w:top w:w="80" w:type="dxa"/>
              <w:left w:w="120" w:type="dxa"/>
              <w:bottom w:w="80" w:type="dxa"/>
              <w:right w:w="120" w:type="dxa"/>
            </w:tcMar>
          </w:tcPr>
          <w:p w14:paraId="495A6E85" w14:textId="77777777" w:rsidR="00F800B3" w:rsidRDefault="00D44A35">
            <w:r>
              <w:rPr>
                <w:b/>
                <w:bCs/>
                <w:color w:val="1F3864"/>
                <w:sz w:val="20"/>
                <w:szCs w:val="20"/>
              </w:rPr>
              <w:t>Proof-of-Concept Pilot</w:t>
            </w:r>
          </w:p>
        </w:tc>
        <w:tc>
          <w:tcPr>
            <w:tcW w:w="7160" w:type="dxa"/>
            <w:tcMar>
              <w:top w:w="80" w:type="dxa"/>
              <w:left w:w="120" w:type="dxa"/>
              <w:bottom w:w="80" w:type="dxa"/>
              <w:right w:w="120" w:type="dxa"/>
            </w:tcMar>
          </w:tcPr>
          <w:p w14:paraId="2D4ECD11" w14:textId="77777777" w:rsidR="00F800B3" w:rsidRDefault="00D44A35">
            <w:r>
              <w:rPr>
                <w:sz w:val="20"/>
                <w:szCs w:val="20"/>
              </w:rPr>
              <w:t>Hands-on support to design and launch a WIL pilot—embedded project-based learning, a new employer partnership model, or reworked institutional policies—assessed against BHEF’s WIL Innovation &amp; Quality Framework.</w:t>
            </w:r>
          </w:p>
        </w:tc>
      </w:tr>
      <w:tr w:rsidR="001C3D75" w14:paraId="1849B160" w14:textId="77777777">
        <w:tc>
          <w:tcPr>
            <w:tcW w:w="2200" w:type="dxa"/>
            <w:shd w:val="clear" w:color="auto" w:fill="D6E4F0"/>
            <w:tcMar>
              <w:top w:w="80" w:type="dxa"/>
              <w:left w:w="120" w:type="dxa"/>
              <w:bottom w:w="80" w:type="dxa"/>
              <w:right w:w="120" w:type="dxa"/>
            </w:tcMar>
          </w:tcPr>
          <w:p w14:paraId="6B9FB285" w14:textId="77777777" w:rsidR="00F800B3" w:rsidRDefault="00D44A35">
            <w:r>
              <w:rPr>
                <w:b/>
                <w:bCs/>
                <w:color w:val="1F3864"/>
                <w:sz w:val="20"/>
                <w:szCs w:val="20"/>
              </w:rPr>
              <w:t>Expert Coaching</w:t>
            </w:r>
          </w:p>
        </w:tc>
        <w:tc>
          <w:tcPr>
            <w:tcW w:w="7160" w:type="dxa"/>
            <w:tcMar>
              <w:top w:w="80" w:type="dxa"/>
              <w:left w:w="120" w:type="dxa"/>
              <w:bottom w:w="80" w:type="dxa"/>
              <w:right w:w="120" w:type="dxa"/>
            </w:tcMar>
          </w:tcPr>
          <w:p w14:paraId="68908ABB" w14:textId="77777777" w:rsidR="00F800B3" w:rsidRDefault="00D44A35">
            <w:r>
              <w:rPr>
                <w:sz w:val="20"/>
                <w:szCs w:val="20"/>
              </w:rPr>
              <w:t>Two individualized coaching sessions covering change management, faculty engagement, policy design, employer partnerships, and equity.</w:t>
            </w:r>
          </w:p>
        </w:tc>
      </w:tr>
      <w:tr w:rsidR="001C3D75" w14:paraId="0364D25C" w14:textId="77777777">
        <w:tc>
          <w:tcPr>
            <w:tcW w:w="2200" w:type="dxa"/>
            <w:shd w:val="clear" w:color="auto" w:fill="D6E4F0"/>
            <w:tcMar>
              <w:top w:w="80" w:type="dxa"/>
              <w:left w:w="120" w:type="dxa"/>
              <w:bottom w:w="80" w:type="dxa"/>
              <w:right w:w="120" w:type="dxa"/>
            </w:tcMar>
          </w:tcPr>
          <w:p w14:paraId="5198424A" w14:textId="77777777" w:rsidR="00F800B3" w:rsidRDefault="00D44A35">
            <w:r>
              <w:rPr>
                <w:b/>
                <w:bCs/>
                <w:color w:val="1F3864"/>
                <w:sz w:val="20"/>
                <w:szCs w:val="20"/>
              </w:rPr>
              <w:t>BHEF Staff Support</w:t>
            </w:r>
          </w:p>
        </w:tc>
        <w:tc>
          <w:tcPr>
            <w:tcW w:w="7160" w:type="dxa"/>
            <w:tcMar>
              <w:top w:w="80" w:type="dxa"/>
              <w:left w:w="120" w:type="dxa"/>
              <w:bottom w:w="80" w:type="dxa"/>
              <w:right w:w="120" w:type="dxa"/>
            </w:tcMar>
          </w:tcPr>
          <w:p w14:paraId="5933E2C7" w14:textId="763F36A5" w:rsidR="00F800B3" w:rsidRDefault="00D44A35">
            <w:r>
              <w:rPr>
                <w:sz w:val="20"/>
                <w:szCs w:val="20"/>
              </w:rPr>
              <w:t xml:space="preserve">Dedicated technical assistance: quarterly TA meetings, </w:t>
            </w:r>
            <w:r w:rsidR="00BD17F3">
              <w:rPr>
                <w:sz w:val="20"/>
                <w:szCs w:val="20"/>
              </w:rPr>
              <w:t xml:space="preserve">one or </w:t>
            </w:r>
            <w:r>
              <w:rPr>
                <w:sz w:val="20"/>
                <w:szCs w:val="20"/>
              </w:rPr>
              <w:t xml:space="preserve">two on-campus visits, and ongoing guidance from BHEF’s </w:t>
            </w:r>
            <w:proofErr w:type="gramStart"/>
            <w:r>
              <w:rPr>
                <w:sz w:val="20"/>
                <w:szCs w:val="20"/>
              </w:rPr>
              <w:t>program</w:t>
            </w:r>
            <w:proofErr w:type="gramEnd"/>
            <w:r>
              <w:rPr>
                <w:sz w:val="20"/>
                <w:szCs w:val="20"/>
              </w:rPr>
              <w:t xml:space="preserve"> team.</w:t>
            </w:r>
          </w:p>
        </w:tc>
      </w:tr>
      <w:tr w:rsidR="001C3D75" w14:paraId="2A8B8A2B" w14:textId="77777777">
        <w:tc>
          <w:tcPr>
            <w:tcW w:w="2200" w:type="dxa"/>
            <w:shd w:val="clear" w:color="auto" w:fill="D6E4F0"/>
            <w:tcMar>
              <w:top w:w="80" w:type="dxa"/>
              <w:left w:w="120" w:type="dxa"/>
              <w:bottom w:w="80" w:type="dxa"/>
              <w:right w:w="120" w:type="dxa"/>
            </w:tcMar>
          </w:tcPr>
          <w:p w14:paraId="47C194B8" w14:textId="77777777" w:rsidR="00F800B3" w:rsidRDefault="00D44A35">
            <w:r>
              <w:rPr>
                <w:b/>
                <w:bCs/>
                <w:color w:val="1F3864"/>
                <w:sz w:val="20"/>
                <w:szCs w:val="20"/>
              </w:rPr>
              <w:t>Peer Learning Network</w:t>
            </w:r>
          </w:p>
        </w:tc>
        <w:tc>
          <w:tcPr>
            <w:tcW w:w="7160" w:type="dxa"/>
            <w:tcMar>
              <w:top w:w="80" w:type="dxa"/>
              <w:left w:w="120" w:type="dxa"/>
              <w:bottom w:w="80" w:type="dxa"/>
              <w:right w:w="120" w:type="dxa"/>
            </w:tcMar>
          </w:tcPr>
          <w:p w14:paraId="687323B8" w14:textId="77777777" w:rsidR="00F800B3" w:rsidRDefault="00D44A35">
            <w:r>
              <w:rPr>
                <w:sz w:val="20"/>
                <w:szCs w:val="20"/>
              </w:rPr>
              <w:t>A cross-institutional community of practice (3 virtual + 1 in-person) with cohort peers, national experts, and BHEF’s business and higher education network.</w:t>
            </w:r>
          </w:p>
        </w:tc>
      </w:tr>
      <w:tr w:rsidR="001C3D75" w14:paraId="2BC07293" w14:textId="77777777">
        <w:tc>
          <w:tcPr>
            <w:tcW w:w="2200" w:type="dxa"/>
            <w:shd w:val="clear" w:color="auto" w:fill="D6E4F0"/>
            <w:tcMar>
              <w:top w:w="80" w:type="dxa"/>
              <w:left w:w="120" w:type="dxa"/>
              <w:bottom w:w="80" w:type="dxa"/>
              <w:right w:w="120" w:type="dxa"/>
            </w:tcMar>
          </w:tcPr>
          <w:p w14:paraId="1B326A32" w14:textId="77777777" w:rsidR="00F800B3" w:rsidRDefault="00D44A35">
            <w:r>
              <w:rPr>
                <w:b/>
                <w:bCs/>
                <w:color w:val="1F3864"/>
                <w:sz w:val="20"/>
                <w:szCs w:val="20"/>
              </w:rPr>
              <w:t>Frameworks &amp; Tools</w:t>
            </w:r>
          </w:p>
        </w:tc>
        <w:tc>
          <w:tcPr>
            <w:tcW w:w="7160" w:type="dxa"/>
            <w:tcMar>
              <w:top w:w="80" w:type="dxa"/>
              <w:left w:w="120" w:type="dxa"/>
              <w:bottom w:w="80" w:type="dxa"/>
              <w:right w:w="120" w:type="dxa"/>
            </w:tcMar>
          </w:tcPr>
          <w:p w14:paraId="7820B3F0" w14:textId="26B0E5B7" w:rsidR="00F800B3" w:rsidRDefault="00D44A35">
            <w:r>
              <w:rPr>
                <w:sz w:val="20"/>
                <w:szCs w:val="20"/>
              </w:rPr>
              <w:t>BHEF’s WIL Innovation &amp; Quality Framework and action planning tools.</w:t>
            </w:r>
          </w:p>
        </w:tc>
      </w:tr>
      <w:tr w:rsidR="001C3D75" w14:paraId="1CBF657D" w14:textId="77777777">
        <w:tc>
          <w:tcPr>
            <w:tcW w:w="2200" w:type="dxa"/>
            <w:shd w:val="clear" w:color="auto" w:fill="D6E4F0"/>
            <w:tcMar>
              <w:top w:w="80" w:type="dxa"/>
              <w:left w:w="120" w:type="dxa"/>
              <w:bottom w:w="80" w:type="dxa"/>
              <w:right w:w="120" w:type="dxa"/>
            </w:tcMar>
          </w:tcPr>
          <w:p w14:paraId="4097545A" w14:textId="77777777" w:rsidR="00F800B3" w:rsidRDefault="00D44A35">
            <w:r>
              <w:rPr>
                <w:b/>
                <w:bCs/>
                <w:color w:val="1F3864"/>
                <w:sz w:val="20"/>
                <w:szCs w:val="20"/>
              </w:rPr>
              <w:t>Sub-Grant Support</w:t>
            </w:r>
          </w:p>
        </w:tc>
        <w:tc>
          <w:tcPr>
            <w:tcW w:w="7160" w:type="dxa"/>
            <w:tcMar>
              <w:top w:w="80" w:type="dxa"/>
              <w:left w:w="120" w:type="dxa"/>
              <w:bottom w:w="80" w:type="dxa"/>
              <w:right w:w="120" w:type="dxa"/>
            </w:tcMar>
          </w:tcPr>
          <w:p w14:paraId="088BDE5C" w14:textId="77777777" w:rsidR="00F800B3" w:rsidRDefault="00D44A35">
            <w:r>
              <w:rPr>
                <w:sz w:val="20"/>
                <w:szCs w:val="20"/>
              </w:rPr>
              <w:t>Up to $10,000 to offset team travel, stipends, or other participation costs.</w:t>
            </w:r>
          </w:p>
        </w:tc>
      </w:tr>
      <w:tr w:rsidR="001C3D75" w14:paraId="5B6EB181" w14:textId="77777777">
        <w:tc>
          <w:tcPr>
            <w:tcW w:w="2200" w:type="dxa"/>
            <w:shd w:val="clear" w:color="auto" w:fill="D6E4F0"/>
            <w:tcMar>
              <w:top w:w="80" w:type="dxa"/>
              <w:left w:w="120" w:type="dxa"/>
              <w:bottom w:w="80" w:type="dxa"/>
              <w:right w:w="120" w:type="dxa"/>
            </w:tcMar>
          </w:tcPr>
          <w:p w14:paraId="7D385FDC" w14:textId="77777777" w:rsidR="00F800B3" w:rsidRDefault="00D44A35">
            <w:r>
              <w:rPr>
                <w:b/>
                <w:bCs/>
                <w:color w:val="1F3864"/>
                <w:sz w:val="20"/>
                <w:szCs w:val="20"/>
              </w:rPr>
              <w:t>National Visibility</w:t>
            </w:r>
          </w:p>
        </w:tc>
        <w:tc>
          <w:tcPr>
            <w:tcW w:w="7160" w:type="dxa"/>
            <w:tcMar>
              <w:top w:w="80" w:type="dxa"/>
              <w:left w:w="120" w:type="dxa"/>
              <w:bottom w:w="80" w:type="dxa"/>
              <w:right w:w="120" w:type="dxa"/>
            </w:tcMar>
          </w:tcPr>
          <w:p w14:paraId="76C2829D" w14:textId="77777777" w:rsidR="00F800B3" w:rsidRDefault="00D44A35">
            <w:r>
              <w:rPr>
                <w:sz w:val="20"/>
                <w:szCs w:val="20"/>
              </w:rPr>
              <w:t>Opportunity to be featured in BHEF case studies and dissemination resources reaching higher education, business, and policy audiences nationwide.</w:t>
            </w:r>
          </w:p>
        </w:tc>
      </w:tr>
    </w:tbl>
    <w:p w14:paraId="39D21603" w14:textId="77777777" w:rsidR="00F800B3" w:rsidRDefault="00F800B3">
      <w:pPr>
        <w:spacing w:before="80"/>
      </w:pPr>
    </w:p>
    <w:p w14:paraId="25465997" w14:textId="77777777" w:rsidR="0052418B" w:rsidRDefault="0052418B" w:rsidP="0052418B">
      <w:pPr>
        <w:spacing w:before="60" w:after="60"/>
      </w:pPr>
    </w:p>
    <w:p w14:paraId="1CAB327C" w14:textId="77777777" w:rsidR="00771C1D" w:rsidRDefault="00771C1D" w:rsidP="0052418B">
      <w:pPr>
        <w:spacing w:before="60" w:after="60"/>
      </w:pPr>
    </w:p>
    <w:p w14:paraId="52DD9E2C" w14:textId="77777777" w:rsidR="00771C1D" w:rsidRDefault="00771C1D" w:rsidP="0052418B">
      <w:pPr>
        <w:spacing w:before="60" w:after="60"/>
      </w:pPr>
    </w:p>
    <w:p w14:paraId="657576A1" w14:textId="77777777" w:rsidR="00771C1D" w:rsidRDefault="00771C1D" w:rsidP="0052418B">
      <w:pPr>
        <w:spacing w:before="60" w:after="60"/>
      </w:pPr>
    </w:p>
    <w:p w14:paraId="64966B29" w14:textId="77777777" w:rsidR="00771C1D" w:rsidRDefault="00771C1D" w:rsidP="0052418B">
      <w:pPr>
        <w:spacing w:before="60" w:after="60"/>
      </w:pPr>
    </w:p>
    <w:p w14:paraId="244B8861" w14:textId="77777777" w:rsidR="00771C1D" w:rsidRDefault="00771C1D" w:rsidP="0052418B">
      <w:pPr>
        <w:spacing w:before="60" w:after="60"/>
      </w:pPr>
    </w:p>
    <w:p w14:paraId="4D03E776" w14:textId="77777777" w:rsidR="00F800B3" w:rsidRDefault="00D44A35">
      <w:pPr>
        <w:shd w:val="clear" w:color="auto" w:fill="1F3864"/>
        <w:spacing w:after="80"/>
        <w:ind w:left="160" w:right="160"/>
      </w:pPr>
      <w:r>
        <w:rPr>
          <w:b/>
          <w:bCs/>
          <w:color w:val="FFFFFF"/>
          <w:sz w:val="26"/>
          <w:szCs w:val="26"/>
        </w:rPr>
        <w:t xml:space="preserve">  SECTION </w:t>
      </w:r>
      <w:proofErr w:type="gramStart"/>
      <w:r>
        <w:rPr>
          <w:b/>
          <w:bCs/>
          <w:color w:val="FFFFFF"/>
          <w:sz w:val="26"/>
          <w:szCs w:val="26"/>
        </w:rPr>
        <w:t>2  |</w:t>
      </w:r>
      <w:proofErr w:type="gramEnd"/>
      <w:r>
        <w:rPr>
          <w:b/>
          <w:bCs/>
          <w:color w:val="FFFFFF"/>
          <w:sz w:val="26"/>
          <w:szCs w:val="26"/>
        </w:rPr>
        <w:t xml:space="preserve">  WHY YOUR INSTITUTION, WHY NOW?</w:t>
      </w:r>
    </w:p>
    <w:p w14:paraId="457AF6A7" w14:textId="77777777" w:rsidR="00F800B3" w:rsidRDefault="00F800B3">
      <w:pPr>
        <w:spacing w:before="60"/>
      </w:pPr>
    </w:p>
    <w:p w14:paraId="19552BDA" w14:textId="16E7B685" w:rsidR="00F800B3" w:rsidRDefault="00D44A35">
      <w:pPr>
        <w:spacing w:before="140" w:after="40"/>
      </w:pPr>
      <w:r>
        <w:rPr>
          <w:b/>
          <w:bCs/>
          <w:color w:val="1F3864"/>
        </w:rPr>
        <w:t>What is driving your institution’s decision to prioritize WIL right now?</w:t>
      </w:r>
    </w:p>
    <w:p w14:paraId="73801319" w14:textId="6F1AB212" w:rsidR="00F800B3" w:rsidRDefault="00D44A35">
      <w:pPr>
        <w:spacing w:before="60" w:after="60"/>
      </w:pPr>
      <w:r>
        <w:t>Is there a specific moment</w:t>
      </w:r>
      <w:r w:rsidR="0023622D">
        <w:t xml:space="preserve"> </w:t>
      </w:r>
      <w:r>
        <w:t>that makes this the right time to invest in WIL expansion</w:t>
      </w:r>
      <w:r w:rsidR="0023622D">
        <w:t xml:space="preserve"> (e.g. a new strategic plan, a leadership transition, a regional workforce need, a funding opportunity, or a sense of urgency among students and employers, etc.)</w:t>
      </w:r>
      <w:r>
        <w:t>?</w:t>
      </w:r>
    </w:p>
    <w:p w14:paraId="13699C2C" w14:textId="77777777" w:rsidR="00F800B3" w:rsidRDefault="00F800B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3D75" w14:paraId="173E43AE" w14:textId="77777777">
        <w:tc>
          <w:tcPr>
            <w:tcW w:w="9360" w:type="dxa"/>
            <w:tcMar>
              <w:top w:w="120" w:type="dxa"/>
              <w:left w:w="160" w:type="dxa"/>
              <w:bottom w:w="400" w:type="dxa"/>
              <w:right w:w="160" w:type="dxa"/>
            </w:tcMar>
          </w:tcPr>
          <w:p w14:paraId="559901A6" w14:textId="24C306D6" w:rsidR="00F800B3" w:rsidRDefault="00F800B3"/>
        </w:tc>
      </w:tr>
    </w:tbl>
    <w:p w14:paraId="7E1337A6" w14:textId="77777777" w:rsidR="00F800B3" w:rsidRDefault="00F800B3">
      <w:pPr>
        <w:spacing w:before="80"/>
      </w:pPr>
    </w:p>
    <w:p w14:paraId="4E223BCC" w14:textId="77777777" w:rsidR="0016416B" w:rsidRPr="0016416B" w:rsidRDefault="0016416B" w:rsidP="0016416B">
      <w:pPr>
        <w:spacing w:before="200" w:after="80"/>
        <w:contextualSpacing/>
        <w:rPr>
          <w:color w:val="auto"/>
        </w:rPr>
      </w:pPr>
      <w:r w:rsidRPr="0016416B">
        <w:rPr>
          <w:b/>
          <w:bCs/>
          <w:color w:val="1F4E79"/>
        </w:rPr>
        <w:t>Institution-Wide WIL Strategy</w:t>
      </w:r>
    </w:p>
    <w:p w14:paraId="125CEC56" w14:textId="77777777" w:rsidR="0016416B" w:rsidRPr="0016416B" w:rsidRDefault="0016416B" w:rsidP="0016416B">
      <w:pPr>
        <w:spacing w:before="60"/>
        <w:contextualSpacing/>
        <w:rPr>
          <w:color w:val="auto"/>
        </w:rPr>
      </w:pPr>
    </w:p>
    <w:p w14:paraId="11E34FF3" w14:textId="77777777" w:rsidR="0016416B" w:rsidRPr="0016416B" w:rsidRDefault="0016416B" w:rsidP="0016416B">
      <w:pPr>
        <w:spacing w:before="60" w:after="60"/>
        <w:contextualSpacing/>
        <w:rPr>
          <w:color w:val="auto"/>
        </w:rPr>
      </w:pPr>
      <w:r w:rsidRPr="0016416B">
        <w:rPr>
          <w:color w:val="1A1A1A"/>
        </w:rPr>
        <w:t>How would you describe the breadth and coherence of your institution’s approach to WIL?</w:t>
      </w:r>
    </w:p>
    <w:p w14:paraId="587ED34D" w14:textId="77777777" w:rsidR="0016416B" w:rsidRPr="0016416B" w:rsidRDefault="0016416B" w:rsidP="0016416B">
      <w:pPr>
        <w:spacing w:before="80"/>
        <w:contextualSpacing/>
        <w:rPr>
          <w:color w:val="aut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16416B" w:rsidRPr="0016416B" w14:paraId="63824CD7" w14:textId="77777777" w:rsidTr="005D24AE">
        <w:tc>
          <w:tcPr>
            <w:tcW w:w="2340" w:type="dxa"/>
            <w:tcBorders>
              <w:top w:val="single" w:sz="1" w:space="0" w:color="CCCCCC"/>
              <w:left w:val="single" w:sz="1" w:space="0" w:color="CCCCCC"/>
              <w:bottom w:val="single" w:sz="1" w:space="0" w:color="CCCCCC"/>
              <w:right w:val="single" w:sz="1" w:space="0" w:color="CCCCCC"/>
            </w:tcBorders>
            <w:shd w:val="clear" w:color="auto" w:fill="C0392B"/>
            <w:tcMar>
              <w:top w:w="80" w:type="dxa"/>
              <w:left w:w="120" w:type="dxa"/>
              <w:bottom w:w="80" w:type="dxa"/>
              <w:right w:w="120" w:type="dxa"/>
            </w:tcMar>
          </w:tcPr>
          <w:p w14:paraId="147D0964" w14:textId="77777777" w:rsidR="0016416B" w:rsidRPr="0016416B" w:rsidRDefault="0016416B" w:rsidP="0016416B">
            <w:pPr>
              <w:contextualSpacing/>
              <w:jc w:val="center"/>
              <w:rPr>
                <w:color w:val="auto"/>
              </w:rPr>
            </w:pPr>
            <w:r w:rsidRPr="0016416B">
              <w:rPr>
                <w:b/>
                <w:bCs/>
                <w:color w:val="FFFFFF"/>
                <w:sz w:val="20"/>
                <w:szCs w:val="20"/>
              </w:rPr>
              <w:t>Level 1</w:t>
            </w:r>
          </w:p>
          <w:p w14:paraId="1BDE01B2" w14:textId="77777777" w:rsidR="0016416B" w:rsidRPr="0016416B" w:rsidRDefault="0016416B" w:rsidP="0016416B">
            <w:pPr>
              <w:contextualSpacing/>
              <w:jc w:val="center"/>
              <w:rPr>
                <w:color w:val="auto"/>
              </w:rPr>
            </w:pPr>
            <w:r w:rsidRPr="0016416B">
              <w:rPr>
                <w:b/>
                <w:bCs/>
                <w:color w:val="FFFFFF"/>
                <w:sz w:val="20"/>
                <w:szCs w:val="20"/>
              </w:rPr>
              <w:t>No Strategy</w:t>
            </w:r>
          </w:p>
        </w:tc>
        <w:tc>
          <w:tcPr>
            <w:tcW w:w="2340" w:type="dxa"/>
            <w:tcBorders>
              <w:top w:val="single" w:sz="1" w:space="0" w:color="CCCCCC"/>
              <w:left w:val="single" w:sz="1" w:space="0" w:color="CCCCCC"/>
              <w:bottom w:val="single" w:sz="1" w:space="0" w:color="CCCCCC"/>
              <w:right w:val="single" w:sz="1" w:space="0" w:color="CCCCCC"/>
            </w:tcBorders>
            <w:shd w:val="clear" w:color="auto" w:fill="E67E22"/>
            <w:tcMar>
              <w:top w:w="80" w:type="dxa"/>
              <w:left w:w="120" w:type="dxa"/>
              <w:bottom w:w="80" w:type="dxa"/>
              <w:right w:w="120" w:type="dxa"/>
            </w:tcMar>
          </w:tcPr>
          <w:p w14:paraId="2EF3BE44" w14:textId="77777777" w:rsidR="0016416B" w:rsidRPr="0016416B" w:rsidRDefault="0016416B" w:rsidP="0016416B">
            <w:pPr>
              <w:contextualSpacing/>
              <w:jc w:val="center"/>
              <w:rPr>
                <w:color w:val="auto"/>
              </w:rPr>
            </w:pPr>
            <w:r w:rsidRPr="0016416B">
              <w:rPr>
                <w:b/>
                <w:bCs/>
                <w:color w:val="FFFFFF"/>
                <w:sz w:val="20"/>
                <w:szCs w:val="20"/>
              </w:rPr>
              <w:t>Level 2</w:t>
            </w:r>
          </w:p>
          <w:p w14:paraId="57D6FDCF" w14:textId="77777777" w:rsidR="0016416B" w:rsidRPr="0016416B" w:rsidRDefault="0016416B" w:rsidP="0016416B">
            <w:pPr>
              <w:contextualSpacing/>
              <w:jc w:val="center"/>
              <w:rPr>
                <w:color w:val="auto"/>
              </w:rPr>
            </w:pPr>
            <w:r w:rsidRPr="0016416B">
              <w:rPr>
                <w:b/>
                <w:bCs/>
                <w:color w:val="FFFFFF"/>
                <w:sz w:val="20"/>
                <w:szCs w:val="20"/>
              </w:rPr>
              <w:t>Siloed</w:t>
            </w:r>
          </w:p>
        </w:tc>
        <w:tc>
          <w:tcPr>
            <w:tcW w:w="234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DD3D67F" w14:textId="77777777" w:rsidR="0016416B" w:rsidRPr="0016416B" w:rsidRDefault="0016416B" w:rsidP="0016416B">
            <w:pPr>
              <w:contextualSpacing/>
              <w:jc w:val="center"/>
              <w:rPr>
                <w:color w:val="auto"/>
              </w:rPr>
            </w:pPr>
            <w:r w:rsidRPr="0016416B">
              <w:rPr>
                <w:b/>
                <w:bCs/>
                <w:color w:val="FFFFFF"/>
                <w:sz w:val="20"/>
                <w:szCs w:val="20"/>
              </w:rPr>
              <w:t>Level 3</w:t>
            </w:r>
          </w:p>
          <w:p w14:paraId="72D8C058" w14:textId="77777777" w:rsidR="0016416B" w:rsidRPr="0016416B" w:rsidRDefault="0016416B" w:rsidP="0016416B">
            <w:pPr>
              <w:contextualSpacing/>
              <w:jc w:val="center"/>
              <w:rPr>
                <w:color w:val="auto"/>
              </w:rPr>
            </w:pPr>
            <w:r w:rsidRPr="0016416B">
              <w:rPr>
                <w:b/>
                <w:bCs/>
                <w:color w:val="FFFFFF"/>
                <w:sz w:val="20"/>
                <w:szCs w:val="20"/>
              </w:rPr>
              <w:t>Emerging Strategy</w:t>
            </w:r>
          </w:p>
        </w:tc>
        <w:tc>
          <w:tcPr>
            <w:tcW w:w="2340" w:type="dxa"/>
            <w:tcBorders>
              <w:top w:val="single" w:sz="1" w:space="0" w:color="CCCCCC"/>
              <w:left w:val="single" w:sz="1" w:space="0" w:color="CCCCCC"/>
              <w:bottom w:val="single" w:sz="1" w:space="0" w:color="CCCCCC"/>
              <w:right w:val="single" w:sz="1" w:space="0" w:color="CCCCCC"/>
            </w:tcBorders>
            <w:shd w:val="clear" w:color="auto" w:fill="27AE60"/>
            <w:tcMar>
              <w:top w:w="80" w:type="dxa"/>
              <w:left w:w="120" w:type="dxa"/>
              <w:bottom w:w="80" w:type="dxa"/>
              <w:right w:w="120" w:type="dxa"/>
            </w:tcMar>
          </w:tcPr>
          <w:p w14:paraId="0057D3B4" w14:textId="77777777" w:rsidR="0016416B" w:rsidRPr="0016416B" w:rsidRDefault="0016416B" w:rsidP="0016416B">
            <w:pPr>
              <w:contextualSpacing/>
              <w:jc w:val="center"/>
              <w:rPr>
                <w:color w:val="auto"/>
              </w:rPr>
            </w:pPr>
            <w:r w:rsidRPr="0016416B">
              <w:rPr>
                <w:b/>
                <w:bCs/>
                <w:color w:val="FFFFFF"/>
                <w:sz w:val="20"/>
                <w:szCs w:val="20"/>
              </w:rPr>
              <w:t>Level 4</w:t>
            </w:r>
          </w:p>
          <w:p w14:paraId="44614AE0" w14:textId="77777777" w:rsidR="0016416B" w:rsidRPr="0016416B" w:rsidRDefault="0016416B" w:rsidP="0016416B">
            <w:pPr>
              <w:contextualSpacing/>
              <w:jc w:val="center"/>
              <w:rPr>
                <w:color w:val="auto"/>
              </w:rPr>
            </w:pPr>
            <w:r w:rsidRPr="0016416B">
              <w:rPr>
                <w:b/>
                <w:bCs/>
                <w:color w:val="FFFFFF"/>
                <w:sz w:val="20"/>
                <w:szCs w:val="20"/>
              </w:rPr>
              <w:t>Integrated Strategy</w:t>
            </w:r>
          </w:p>
        </w:tc>
      </w:tr>
      <w:tr w:rsidR="0016416B" w:rsidRPr="0016416B" w14:paraId="2EB60D64" w14:textId="77777777" w:rsidTr="005D24AE">
        <w:tc>
          <w:tcPr>
            <w:tcW w:w="2340" w:type="dxa"/>
            <w:tcBorders>
              <w:top w:val="single" w:sz="1" w:space="0" w:color="CCCCCC"/>
              <w:left w:val="single" w:sz="1" w:space="0" w:color="CCCCCC"/>
              <w:bottom w:val="single" w:sz="1" w:space="0" w:color="CCCCCC"/>
              <w:right w:val="single" w:sz="1" w:space="0" w:color="CCCCCC"/>
            </w:tcBorders>
            <w:shd w:val="clear" w:color="auto" w:fill="FFF3E0"/>
            <w:tcMar>
              <w:top w:w="100" w:type="dxa"/>
              <w:left w:w="120" w:type="dxa"/>
              <w:bottom w:w="100" w:type="dxa"/>
              <w:right w:w="120" w:type="dxa"/>
            </w:tcMar>
          </w:tcPr>
          <w:p w14:paraId="18CAB7B0" w14:textId="77777777" w:rsidR="0016416B" w:rsidRPr="0016416B" w:rsidRDefault="0016416B" w:rsidP="0016416B">
            <w:pPr>
              <w:contextualSpacing/>
              <w:rPr>
                <w:color w:val="auto"/>
              </w:rPr>
            </w:pPr>
            <w:r w:rsidRPr="0016416B">
              <w:rPr>
                <w:color w:val="1A1A1A"/>
                <w:sz w:val="20"/>
                <w:szCs w:val="20"/>
              </w:rPr>
              <w:t>WIL activities exist only as individual faculty or departmental initiatives with no connection to a broader institutional vision. There is no centralized coordination, data tracking, or shared definition of WIL.</w:t>
            </w:r>
          </w:p>
        </w:tc>
        <w:tc>
          <w:tcPr>
            <w:tcW w:w="2340" w:type="dxa"/>
            <w:tcBorders>
              <w:top w:val="single" w:sz="1" w:space="0" w:color="CCCCCC"/>
              <w:left w:val="single" w:sz="1" w:space="0" w:color="CCCCCC"/>
              <w:bottom w:val="single" w:sz="1" w:space="0" w:color="CCCCCC"/>
              <w:right w:val="single" w:sz="1" w:space="0" w:color="CCCCCC"/>
            </w:tcBorders>
            <w:shd w:val="clear" w:color="auto" w:fill="FFF9F0"/>
            <w:tcMar>
              <w:top w:w="100" w:type="dxa"/>
              <w:left w:w="120" w:type="dxa"/>
              <w:bottom w:w="100" w:type="dxa"/>
              <w:right w:w="120" w:type="dxa"/>
            </w:tcMar>
          </w:tcPr>
          <w:p w14:paraId="33F59DC6" w14:textId="77777777" w:rsidR="0016416B" w:rsidRPr="0016416B" w:rsidRDefault="0016416B" w:rsidP="0016416B">
            <w:pPr>
              <w:contextualSpacing/>
              <w:rPr>
                <w:color w:val="auto"/>
              </w:rPr>
            </w:pPr>
            <w:r w:rsidRPr="0016416B">
              <w:rPr>
                <w:color w:val="1A1A1A"/>
                <w:sz w:val="20"/>
                <w:szCs w:val="20"/>
              </w:rPr>
              <w:t>Multiple WIL programs or activities exist across the institution, but they operate independently without coordination, shared quality standards, or centralized employer relationship management. There is no institution-wide WIL strategy or infrastructure.</w:t>
            </w:r>
          </w:p>
        </w:tc>
        <w:tc>
          <w:tcPr>
            <w:tcW w:w="2340" w:type="dxa"/>
            <w:tcBorders>
              <w:top w:val="single" w:sz="1" w:space="0" w:color="CCCCCC"/>
              <w:left w:val="single" w:sz="1" w:space="0" w:color="CCCCCC"/>
              <w:bottom w:val="single" w:sz="1" w:space="0" w:color="CCCCCC"/>
              <w:right w:val="single" w:sz="1" w:space="0" w:color="CCCCCC"/>
            </w:tcBorders>
            <w:shd w:val="clear" w:color="auto" w:fill="F0F7FF"/>
            <w:tcMar>
              <w:top w:w="100" w:type="dxa"/>
              <w:left w:w="120" w:type="dxa"/>
              <w:bottom w:w="100" w:type="dxa"/>
              <w:right w:w="120" w:type="dxa"/>
            </w:tcMar>
          </w:tcPr>
          <w:p w14:paraId="70B28FAA" w14:textId="77777777" w:rsidR="0016416B" w:rsidRPr="0016416B" w:rsidRDefault="0016416B" w:rsidP="0016416B">
            <w:pPr>
              <w:contextualSpacing/>
              <w:rPr>
                <w:color w:val="auto"/>
              </w:rPr>
            </w:pPr>
            <w:r w:rsidRPr="0016416B">
              <w:rPr>
                <w:color w:val="1A1A1A"/>
                <w:sz w:val="20"/>
                <w:szCs w:val="20"/>
              </w:rPr>
              <w:t>The institution has begun developing a shared WIL vision and is working to coordinate programs across departments. Some common infrastructure is in place, but cross-functional alignment and consistent quality standards are still developing.</w:t>
            </w:r>
          </w:p>
        </w:tc>
        <w:tc>
          <w:tcPr>
            <w:tcW w:w="2340" w:type="dxa"/>
            <w:tcBorders>
              <w:top w:val="single" w:sz="1" w:space="0" w:color="CCCCCC"/>
              <w:left w:val="single" w:sz="1" w:space="0" w:color="CCCCCC"/>
              <w:bottom w:val="single" w:sz="1" w:space="0" w:color="CCCCCC"/>
              <w:right w:val="single" w:sz="1" w:space="0" w:color="CCCCCC"/>
            </w:tcBorders>
            <w:shd w:val="clear" w:color="auto" w:fill="E8F5E9"/>
            <w:tcMar>
              <w:top w:w="100" w:type="dxa"/>
              <w:left w:w="120" w:type="dxa"/>
              <w:bottom w:w="100" w:type="dxa"/>
              <w:right w:w="120" w:type="dxa"/>
            </w:tcMar>
          </w:tcPr>
          <w:p w14:paraId="0D3E6BB1" w14:textId="77777777" w:rsidR="0016416B" w:rsidRPr="0016416B" w:rsidRDefault="0016416B" w:rsidP="0016416B">
            <w:pPr>
              <w:contextualSpacing/>
              <w:rPr>
                <w:color w:val="auto"/>
              </w:rPr>
            </w:pPr>
            <w:r w:rsidRPr="0016416B">
              <w:rPr>
                <w:color w:val="1A1A1A"/>
                <w:sz w:val="20"/>
                <w:szCs w:val="20"/>
              </w:rPr>
              <w:t>A comprehensive, institution-wide WIL strategy is in place, with clear goals, defined quality standards, centralized employer partnerships, and cross-functional coordination. WIL is embedded as a core function with regular data review and continuous improvement.</w:t>
            </w:r>
          </w:p>
        </w:tc>
      </w:tr>
      <w:tr w:rsidR="0016416B" w:rsidRPr="0016416B" w14:paraId="37AD4F75" w14:textId="77777777" w:rsidTr="005D24AE">
        <w:trPr>
          <w:trHeight w:hRule="exact" w:val="600"/>
        </w:trPr>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92C6FA0" w14:textId="77777777" w:rsidR="0016416B" w:rsidRPr="0016416B" w:rsidRDefault="0016416B" w:rsidP="0016416B">
            <w:pPr>
              <w:contextualSpacing/>
              <w:jc w:val="center"/>
              <w:rPr>
                <w:color w:val="auto"/>
              </w:rPr>
            </w:pPr>
            <w:proofErr w:type="gramStart"/>
            <w:r w:rsidRPr="0016416B">
              <w:rPr>
                <w:color w:val="auto"/>
                <w:sz w:val="24"/>
                <w:szCs w:val="24"/>
              </w:rPr>
              <w:t xml:space="preserve">□  </w:t>
            </w:r>
            <w:r w:rsidRPr="0016416B">
              <w:rPr>
                <w:i/>
                <w:iCs/>
                <w:sz w:val="20"/>
                <w:szCs w:val="20"/>
              </w:rPr>
              <w:t>This</w:t>
            </w:r>
            <w:proofErr w:type="gramEnd"/>
            <w:r w:rsidRPr="0016416B">
              <w:rPr>
                <w:i/>
                <w:iCs/>
                <w:sz w:val="20"/>
                <w:szCs w:val="20"/>
              </w:rPr>
              <w:t xml:space="preserve"> describes us</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8C30CBD" w14:textId="77777777" w:rsidR="0016416B" w:rsidRPr="0016416B" w:rsidRDefault="0016416B" w:rsidP="0016416B">
            <w:pPr>
              <w:contextualSpacing/>
              <w:jc w:val="center"/>
              <w:rPr>
                <w:color w:val="auto"/>
              </w:rPr>
            </w:pPr>
            <w:proofErr w:type="gramStart"/>
            <w:r w:rsidRPr="0016416B">
              <w:rPr>
                <w:color w:val="auto"/>
                <w:sz w:val="24"/>
                <w:szCs w:val="24"/>
              </w:rPr>
              <w:t xml:space="preserve">□  </w:t>
            </w:r>
            <w:r w:rsidRPr="0016416B">
              <w:rPr>
                <w:i/>
                <w:iCs/>
                <w:sz w:val="20"/>
                <w:szCs w:val="20"/>
              </w:rPr>
              <w:t>This</w:t>
            </w:r>
            <w:proofErr w:type="gramEnd"/>
            <w:r w:rsidRPr="0016416B">
              <w:rPr>
                <w:i/>
                <w:iCs/>
                <w:sz w:val="20"/>
                <w:szCs w:val="20"/>
              </w:rPr>
              <w:t xml:space="preserve"> describes us</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DCC90AA" w14:textId="77777777" w:rsidR="0016416B" w:rsidRPr="0016416B" w:rsidRDefault="0016416B" w:rsidP="0016416B">
            <w:pPr>
              <w:contextualSpacing/>
              <w:jc w:val="center"/>
              <w:rPr>
                <w:color w:val="auto"/>
              </w:rPr>
            </w:pPr>
            <w:proofErr w:type="gramStart"/>
            <w:r w:rsidRPr="0016416B">
              <w:rPr>
                <w:color w:val="auto"/>
                <w:sz w:val="24"/>
                <w:szCs w:val="24"/>
              </w:rPr>
              <w:t xml:space="preserve">□  </w:t>
            </w:r>
            <w:r w:rsidRPr="0016416B">
              <w:rPr>
                <w:i/>
                <w:iCs/>
                <w:sz w:val="20"/>
                <w:szCs w:val="20"/>
              </w:rPr>
              <w:t>This</w:t>
            </w:r>
            <w:proofErr w:type="gramEnd"/>
            <w:r w:rsidRPr="0016416B">
              <w:rPr>
                <w:i/>
                <w:iCs/>
                <w:sz w:val="20"/>
                <w:szCs w:val="20"/>
              </w:rPr>
              <w:t xml:space="preserve"> describes us</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BD6BA13" w14:textId="77777777" w:rsidR="0016416B" w:rsidRPr="0016416B" w:rsidRDefault="0016416B" w:rsidP="0016416B">
            <w:pPr>
              <w:contextualSpacing/>
              <w:jc w:val="center"/>
              <w:rPr>
                <w:color w:val="auto"/>
              </w:rPr>
            </w:pPr>
            <w:proofErr w:type="gramStart"/>
            <w:r w:rsidRPr="0016416B">
              <w:rPr>
                <w:color w:val="auto"/>
                <w:sz w:val="24"/>
                <w:szCs w:val="24"/>
              </w:rPr>
              <w:t xml:space="preserve">□  </w:t>
            </w:r>
            <w:r w:rsidRPr="0016416B">
              <w:rPr>
                <w:i/>
                <w:iCs/>
                <w:sz w:val="20"/>
                <w:szCs w:val="20"/>
              </w:rPr>
              <w:t>This</w:t>
            </w:r>
            <w:proofErr w:type="gramEnd"/>
            <w:r w:rsidRPr="0016416B">
              <w:rPr>
                <w:i/>
                <w:iCs/>
                <w:sz w:val="20"/>
                <w:szCs w:val="20"/>
              </w:rPr>
              <w:t xml:space="preserve"> describes us</w:t>
            </w:r>
          </w:p>
        </w:tc>
      </w:tr>
    </w:tbl>
    <w:p w14:paraId="2083791F" w14:textId="77777777" w:rsidR="0016416B" w:rsidRDefault="0016416B">
      <w:pPr>
        <w:spacing w:before="140" w:after="40"/>
        <w:rPr>
          <w:b/>
          <w:bCs/>
          <w:color w:val="1F3864"/>
        </w:rPr>
      </w:pPr>
    </w:p>
    <w:p w14:paraId="13C28AF5" w14:textId="77777777" w:rsidR="0016416B" w:rsidRDefault="0016416B">
      <w:pPr>
        <w:spacing w:before="140" w:after="40"/>
        <w:rPr>
          <w:b/>
          <w:bCs/>
          <w:color w:val="1F3864"/>
        </w:rPr>
      </w:pPr>
    </w:p>
    <w:p w14:paraId="424ADC7B" w14:textId="7C1D869F" w:rsidR="00F800B3" w:rsidRDefault="00D44A35">
      <w:pPr>
        <w:spacing w:before="140" w:after="40"/>
      </w:pPr>
      <w:r>
        <w:rPr>
          <w:b/>
          <w:bCs/>
          <w:color w:val="1F3864"/>
        </w:rPr>
        <w:t xml:space="preserve">What do you most hope this Lab will help you achieve for your </w:t>
      </w:r>
      <w:r w:rsidR="003015BE">
        <w:rPr>
          <w:b/>
          <w:bCs/>
          <w:color w:val="1F3864"/>
        </w:rPr>
        <w:t>learners and employer partners</w:t>
      </w:r>
      <w:r>
        <w:rPr>
          <w:b/>
          <w:bCs/>
          <w:color w:val="1F3864"/>
        </w:rPr>
        <w:t>?</w:t>
      </w:r>
    </w:p>
    <w:p w14:paraId="4CF93A37" w14:textId="2542243B" w:rsidR="00F800B3" w:rsidRDefault="00D44A35">
      <w:pPr>
        <w:spacing w:before="60" w:after="60"/>
      </w:pPr>
      <w:r>
        <w:t xml:space="preserve">Looking 12–18 months ahead: if the Lab delivers on its full promise, what would be measurably different about your </w:t>
      </w:r>
      <w:r w:rsidR="003015BE">
        <w:t>learners</w:t>
      </w:r>
      <w:r>
        <w:t xml:space="preserve">’ access to and outcomes from WIL? What impact would your institution have </w:t>
      </w:r>
      <w:r w:rsidR="0052418B">
        <w:t>had on</w:t>
      </w:r>
      <w:r>
        <w:t xml:space="preserve"> </w:t>
      </w:r>
      <w:r w:rsidR="003015BE">
        <w:t>new or existing employer partners</w:t>
      </w:r>
      <w:r>
        <w:t>?</w:t>
      </w:r>
    </w:p>
    <w:p w14:paraId="103B4087" w14:textId="77777777" w:rsidR="00F800B3" w:rsidRDefault="00F800B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3D75" w14:paraId="6F004ED7" w14:textId="77777777">
        <w:tc>
          <w:tcPr>
            <w:tcW w:w="9360" w:type="dxa"/>
            <w:tcMar>
              <w:top w:w="120" w:type="dxa"/>
              <w:left w:w="160" w:type="dxa"/>
              <w:bottom w:w="400" w:type="dxa"/>
              <w:right w:w="160" w:type="dxa"/>
            </w:tcMar>
          </w:tcPr>
          <w:p w14:paraId="4C2727C6" w14:textId="68E9FF5B" w:rsidR="00F800B3" w:rsidRPr="0052418B" w:rsidRDefault="00F800B3"/>
        </w:tc>
      </w:tr>
    </w:tbl>
    <w:p w14:paraId="2ED46212" w14:textId="77777777" w:rsidR="0052418B" w:rsidRDefault="0052418B" w:rsidP="0052418B">
      <w:pPr>
        <w:spacing w:before="140" w:after="40"/>
        <w:rPr>
          <w:b/>
          <w:bCs/>
          <w:color w:val="1F3864"/>
        </w:rPr>
      </w:pPr>
    </w:p>
    <w:p w14:paraId="42161B3A" w14:textId="304DAC36" w:rsidR="0052418B" w:rsidRDefault="0052418B" w:rsidP="0052418B">
      <w:pPr>
        <w:spacing w:before="140" w:after="40"/>
      </w:pPr>
      <w:r>
        <w:rPr>
          <w:b/>
          <w:bCs/>
          <w:color w:val="1F3864"/>
        </w:rPr>
        <w:t>What is your top goal for participating in the Lab?</w:t>
      </w:r>
    </w:p>
    <w:p w14:paraId="651F5304" w14:textId="04CCE9E2" w:rsidR="0052418B" w:rsidRDefault="5F6F6328" w:rsidP="0052418B">
      <w:pPr>
        <w:spacing w:before="60" w:after="60"/>
      </w:pPr>
      <w:r>
        <w:t xml:space="preserve">Be specific: what would a successful outcome look like? What would be different at your institution? Please do </w:t>
      </w:r>
      <w:proofErr w:type="gramStart"/>
      <w:r>
        <w:t>you</w:t>
      </w:r>
      <w:proofErr w:type="gramEnd"/>
      <w:r>
        <w:t xml:space="preserve"> best to quantify this goal. Examples: Develop an institution-wide WIL strategy that impacts [x number of] undergraduate learners; launch a new employer partnership model in a high-enrollment program resulting in [x number of] employers recruited/retained; implement a new data system for capturing learner and/or employer participation in WIL; create a new institutional function to oversee WIL strategy and success for [x number of] learners.</w:t>
      </w:r>
    </w:p>
    <w:p w14:paraId="7DC09D36" w14:textId="77777777" w:rsidR="0052418B" w:rsidRDefault="0052418B" w:rsidP="0052418B">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2418B" w14:paraId="25A63293" w14:textId="77777777" w:rsidTr="00BF692A">
        <w:tc>
          <w:tcPr>
            <w:tcW w:w="9360" w:type="dxa"/>
            <w:tcMar>
              <w:top w:w="120" w:type="dxa"/>
              <w:left w:w="160" w:type="dxa"/>
              <w:bottom w:w="400" w:type="dxa"/>
              <w:right w:w="160" w:type="dxa"/>
            </w:tcMar>
          </w:tcPr>
          <w:p w14:paraId="615C1BDF" w14:textId="77777777" w:rsidR="0052418B" w:rsidRDefault="0052418B" w:rsidP="00BF692A"/>
        </w:tc>
      </w:tr>
    </w:tbl>
    <w:p w14:paraId="176A0A25" w14:textId="77777777" w:rsidR="00F800B3" w:rsidRDefault="00F800B3">
      <w:pPr>
        <w:spacing w:before="200"/>
      </w:pPr>
    </w:p>
    <w:p w14:paraId="5A13D9F3" w14:textId="77777777" w:rsidR="00F800B3" w:rsidRDefault="00D44A35">
      <w:pPr>
        <w:shd w:val="clear" w:color="auto" w:fill="1F3864"/>
        <w:spacing w:after="80"/>
        <w:ind w:left="160" w:right="160"/>
      </w:pPr>
      <w:r>
        <w:rPr>
          <w:b/>
          <w:bCs/>
          <w:color w:val="FFFFFF"/>
          <w:sz w:val="26"/>
          <w:szCs w:val="26"/>
        </w:rPr>
        <w:t xml:space="preserve">  SECTION </w:t>
      </w:r>
      <w:proofErr w:type="gramStart"/>
      <w:r>
        <w:rPr>
          <w:b/>
          <w:bCs/>
          <w:color w:val="FFFFFF"/>
          <w:sz w:val="26"/>
          <w:szCs w:val="26"/>
        </w:rPr>
        <w:t>3  |</w:t>
      </w:r>
      <w:proofErr w:type="gramEnd"/>
      <w:r>
        <w:rPr>
          <w:b/>
          <w:bCs/>
          <w:color w:val="FFFFFF"/>
          <w:sz w:val="26"/>
          <w:szCs w:val="26"/>
        </w:rPr>
        <w:t xml:space="preserve">  INSTITUTION &amp; CONTACT INFORMATION</w:t>
      </w:r>
    </w:p>
    <w:p w14:paraId="469D1512" w14:textId="77777777" w:rsidR="00F800B3" w:rsidRDefault="00F800B3">
      <w:pPr>
        <w:spacing w:before="80"/>
      </w:pPr>
    </w:p>
    <w:p w14:paraId="133E2C8F" w14:textId="77777777" w:rsidR="00F800B3" w:rsidRDefault="00D44A35">
      <w:pPr>
        <w:spacing w:before="60" w:after="60"/>
      </w:pPr>
      <w:r>
        <w:t>Please complete all fields in this section.</w:t>
      </w:r>
    </w:p>
    <w:p w14:paraId="53401555" w14:textId="77777777" w:rsidR="00F800B3" w:rsidRDefault="00F800B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C3D75" w14:paraId="3F22D27D" w14:textId="77777777">
        <w:tc>
          <w:tcPr>
            <w:tcW w:w="4680" w:type="dxa"/>
            <w:tcMar>
              <w:top w:w="100" w:type="dxa"/>
              <w:left w:w="120" w:type="dxa"/>
              <w:bottom w:w="300" w:type="dxa"/>
              <w:right w:w="120" w:type="dxa"/>
            </w:tcMar>
          </w:tcPr>
          <w:p w14:paraId="5C7F3E3C" w14:textId="77777777" w:rsidR="00F800B3" w:rsidRDefault="00D44A35">
            <w:r>
              <w:rPr>
                <w:b/>
                <w:bCs/>
                <w:color w:val="1F3864"/>
                <w:sz w:val="20"/>
                <w:szCs w:val="20"/>
              </w:rPr>
              <w:t>Institution Name</w:t>
            </w:r>
          </w:p>
        </w:tc>
        <w:tc>
          <w:tcPr>
            <w:tcW w:w="4680" w:type="dxa"/>
            <w:tcMar>
              <w:top w:w="100" w:type="dxa"/>
              <w:left w:w="120" w:type="dxa"/>
              <w:bottom w:w="300" w:type="dxa"/>
              <w:right w:w="120" w:type="dxa"/>
            </w:tcMar>
          </w:tcPr>
          <w:p w14:paraId="18837444" w14:textId="77777777" w:rsidR="00F800B3" w:rsidRDefault="00D44A35">
            <w:r>
              <w:rPr>
                <w:b/>
                <w:bCs/>
                <w:color w:val="1F3864"/>
                <w:sz w:val="20"/>
                <w:szCs w:val="20"/>
              </w:rPr>
              <w:t>State</w:t>
            </w:r>
          </w:p>
        </w:tc>
      </w:tr>
      <w:tr w:rsidR="001C3D75" w14:paraId="1CAC594D" w14:textId="77777777">
        <w:tc>
          <w:tcPr>
            <w:tcW w:w="4680" w:type="dxa"/>
            <w:tcMar>
              <w:top w:w="100" w:type="dxa"/>
              <w:left w:w="120" w:type="dxa"/>
              <w:bottom w:w="300" w:type="dxa"/>
              <w:right w:w="120" w:type="dxa"/>
            </w:tcMar>
          </w:tcPr>
          <w:p w14:paraId="33C853D6" w14:textId="77777777" w:rsidR="00F800B3" w:rsidRDefault="00D44A35">
            <w:r>
              <w:rPr>
                <w:b/>
                <w:bCs/>
                <w:color w:val="1F3864"/>
                <w:sz w:val="20"/>
                <w:szCs w:val="20"/>
              </w:rPr>
              <w:t>President Name</w:t>
            </w:r>
          </w:p>
        </w:tc>
        <w:tc>
          <w:tcPr>
            <w:tcW w:w="4680" w:type="dxa"/>
            <w:tcMar>
              <w:top w:w="100" w:type="dxa"/>
              <w:left w:w="120" w:type="dxa"/>
              <w:bottom w:w="300" w:type="dxa"/>
              <w:right w:w="120" w:type="dxa"/>
            </w:tcMar>
          </w:tcPr>
          <w:p w14:paraId="27450505" w14:textId="77777777" w:rsidR="00F800B3" w:rsidRDefault="00D44A35">
            <w:r>
              <w:rPr>
                <w:b/>
                <w:bCs/>
                <w:color w:val="1F3864"/>
                <w:sz w:val="20"/>
                <w:szCs w:val="20"/>
              </w:rPr>
              <w:t>President / Assistant Email</w:t>
            </w:r>
          </w:p>
        </w:tc>
      </w:tr>
      <w:tr w:rsidR="001C3D75" w14:paraId="36FDB50D" w14:textId="77777777">
        <w:tc>
          <w:tcPr>
            <w:tcW w:w="4680" w:type="dxa"/>
            <w:tcMar>
              <w:top w:w="100" w:type="dxa"/>
              <w:left w:w="120" w:type="dxa"/>
              <w:bottom w:w="300" w:type="dxa"/>
              <w:right w:w="120" w:type="dxa"/>
            </w:tcMar>
          </w:tcPr>
          <w:p w14:paraId="782A46A6" w14:textId="77777777" w:rsidR="00F800B3" w:rsidRDefault="00D44A35">
            <w:r>
              <w:rPr>
                <w:b/>
                <w:bCs/>
                <w:color w:val="1F3864"/>
                <w:sz w:val="20"/>
                <w:szCs w:val="20"/>
              </w:rPr>
              <w:t>President Phone</w:t>
            </w:r>
          </w:p>
        </w:tc>
        <w:tc>
          <w:tcPr>
            <w:tcW w:w="4680" w:type="dxa"/>
            <w:tcMar>
              <w:top w:w="100" w:type="dxa"/>
              <w:left w:w="120" w:type="dxa"/>
              <w:bottom w:w="300" w:type="dxa"/>
              <w:right w:w="120" w:type="dxa"/>
            </w:tcMar>
          </w:tcPr>
          <w:p w14:paraId="08E54BD0" w14:textId="77777777" w:rsidR="00F800B3" w:rsidRDefault="00D44A35">
            <w:r>
              <w:rPr>
                <w:b/>
                <w:bCs/>
                <w:color w:val="1F3864"/>
                <w:sz w:val="20"/>
                <w:szCs w:val="20"/>
              </w:rPr>
              <w:t>Total Undergraduate Enrollment</w:t>
            </w:r>
          </w:p>
        </w:tc>
      </w:tr>
      <w:tr w:rsidR="001C3D75" w14:paraId="254045C9" w14:textId="77777777">
        <w:tc>
          <w:tcPr>
            <w:tcW w:w="4680" w:type="dxa"/>
            <w:tcMar>
              <w:top w:w="100" w:type="dxa"/>
              <w:left w:w="120" w:type="dxa"/>
              <w:bottom w:w="300" w:type="dxa"/>
              <w:right w:w="120" w:type="dxa"/>
            </w:tcMar>
          </w:tcPr>
          <w:p w14:paraId="37EF26C0" w14:textId="77777777" w:rsidR="00F800B3" w:rsidRDefault="00D44A35">
            <w:r>
              <w:rPr>
                <w:b/>
                <w:bCs/>
                <w:color w:val="1F3864"/>
                <w:sz w:val="20"/>
                <w:szCs w:val="20"/>
              </w:rPr>
              <w:t>Primary Contact Name (if different from President)</w:t>
            </w:r>
          </w:p>
        </w:tc>
        <w:tc>
          <w:tcPr>
            <w:tcW w:w="4680" w:type="dxa"/>
            <w:tcMar>
              <w:top w:w="100" w:type="dxa"/>
              <w:left w:w="120" w:type="dxa"/>
              <w:bottom w:w="300" w:type="dxa"/>
              <w:right w:w="120" w:type="dxa"/>
            </w:tcMar>
          </w:tcPr>
          <w:p w14:paraId="6CAE76BA" w14:textId="77777777" w:rsidR="00F800B3" w:rsidRDefault="00D44A35">
            <w:r>
              <w:rPr>
                <w:b/>
                <w:bCs/>
                <w:color w:val="1F3864"/>
                <w:sz w:val="20"/>
                <w:szCs w:val="20"/>
              </w:rPr>
              <w:t>Primary Contact Email &amp; Phone</w:t>
            </w:r>
          </w:p>
        </w:tc>
      </w:tr>
    </w:tbl>
    <w:p w14:paraId="35E88A18" w14:textId="77777777" w:rsidR="00F800B3" w:rsidRDefault="00F800B3">
      <w:pPr>
        <w:spacing w:before="100"/>
      </w:pPr>
    </w:p>
    <w:p w14:paraId="3506905D" w14:textId="77777777" w:rsidR="00F800B3" w:rsidRDefault="00D44A35">
      <w:pPr>
        <w:spacing w:before="160" w:after="60"/>
      </w:pPr>
      <w:r>
        <w:rPr>
          <w:b/>
          <w:bCs/>
          <w:color w:val="2E5FA3"/>
          <w:sz w:val="24"/>
          <w:szCs w:val="24"/>
        </w:rPr>
        <w:t>Institution Characteristics</w:t>
      </w:r>
    </w:p>
    <w:p w14:paraId="57DD0ADD" w14:textId="77777777" w:rsidR="00F800B3" w:rsidRDefault="00D44A35">
      <w:pPr>
        <w:spacing w:before="60" w:after="60"/>
      </w:pPr>
      <w:r>
        <w:t>Check all that apply:</w:t>
      </w:r>
    </w:p>
    <w:p w14:paraId="55F69A46" w14:textId="77777777" w:rsidR="00F800B3" w:rsidRDefault="00F800B3">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F800B3" w14:paraId="67EF916E" w14:textId="77777777">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0894F09" w14:textId="5DA2DED4" w:rsidR="00F800B3" w:rsidRDefault="00D44A35">
            <w:r>
              <w:rPr>
                <w:sz w:val="20"/>
                <w:szCs w:val="20"/>
              </w:rPr>
              <w:t>□ Community College</w:t>
            </w:r>
            <w:r w:rsidR="00936845">
              <w:rPr>
                <w:sz w:val="20"/>
                <w:szCs w:val="20"/>
              </w:rPr>
              <w:t>/Open Access Institution</w:t>
            </w:r>
          </w:p>
        </w:tc>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EAA03C7" w14:textId="77777777" w:rsidR="00F800B3" w:rsidRDefault="00D44A35">
            <w:r>
              <w:rPr>
                <w:sz w:val="20"/>
                <w:szCs w:val="20"/>
              </w:rPr>
              <w:t>□ Regional Public University</w:t>
            </w:r>
          </w:p>
        </w:tc>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B5FDEB5" w14:textId="77777777" w:rsidR="00F800B3" w:rsidRDefault="00D44A35">
            <w:r>
              <w:rPr>
                <w:sz w:val="20"/>
                <w:szCs w:val="20"/>
              </w:rPr>
              <w:t>□ Historically Black College or University (HBCU)</w:t>
            </w:r>
          </w:p>
        </w:tc>
      </w:tr>
      <w:tr w:rsidR="00F800B3" w14:paraId="7E6CC11F" w14:textId="77777777">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CAB1455" w14:textId="36AF627A" w:rsidR="00F800B3" w:rsidRDefault="00936845">
            <w:r>
              <w:rPr>
                <w:sz w:val="20"/>
                <w:szCs w:val="20"/>
              </w:rPr>
              <w:t>□ Other Minority-Serving Institution (MSI)</w:t>
            </w:r>
          </w:p>
        </w:tc>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A37E5E1" w14:textId="77777777" w:rsidR="00F800B3" w:rsidRDefault="00D44A35">
            <w:r>
              <w:rPr>
                <w:sz w:val="20"/>
                <w:szCs w:val="20"/>
              </w:rPr>
              <w:t>□ Hispanic-Serving Institution (HSI)</w:t>
            </w:r>
          </w:p>
        </w:tc>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D7AE33F" w14:textId="77777777" w:rsidR="00F800B3" w:rsidRDefault="00D44A35">
            <w:r>
              <w:rPr>
                <w:sz w:val="20"/>
                <w:szCs w:val="20"/>
              </w:rPr>
              <w:t>□ Tribal College or University</w:t>
            </w:r>
          </w:p>
        </w:tc>
      </w:tr>
      <w:tr w:rsidR="00936845" w14:paraId="44D66661" w14:textId="77777777">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D39CF47" w14:textId="16D9F97E" w:rsidR="00936845" w:rsidRDefault="00936845" w:rsidP="00936845">
            <w:r>
              <w:rPr>
                <w:sz w:val="20"/>
                <w:szCs w:val="20"/>
              </w:rPr>
              <w:t>□ Rural</w:t>
            </w:r>
          </w:p>
        </w:tc>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DD1AAF1" w14:textId="6A5124D5" w:rsidR="00936845" w:rsidRDefault="00936845" w:rsidP="00936845">
            <w:r>
              <w:rPr>
                <w:sz w:val="20"/>
                <w:szCs w:val="20"/>
              </w:rPr>
              <w:t>□ Urban / Suburban</w:t>
            </w:r>
          </w:p>
        </w:tc>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F97925B" w14:textId="254A29C0" w:rsidR="00936845" w:rsidRDefault="00936845" w:rsidP="00936845"/>
        </w:tc>
      </w:tr>
    </w:tbl>
    <w:p w14:paraId="27F3962B" w14:textId="77777777" w:rsidR="00F800B3" w:rsidRDefault="00F800B3">
      <w:pPr>
        <w:spacing w:before="80"/>
        <w:rPr>
          <w:b/>
          <w:bCs/>
          <w:color w:val="FFFFFF"/>
          <w:sz w:val="26"/>
          <w:szCs w:val="26"/>
        </w:rPr>
      </w:pPr>
    </w:p>
    <w:p w14:paraId="09C435FD" w14:textId="77777777" w:rsidR="00742ED6" w:rsidRDefault="00742ED6" w:rsidP="003015BE">
      <w:pPr>
        <w:spacing w:before="160" w:after="60"/>
        <w:rPr>
          <w:b/>
          <w:bCs/>
          <w:color w:val="2E5FA3"/>
          <w:sz w:val="24"/>
          <w:szCs w:val="24"/>
        </w:rPr>
      </w:pPr>
    </w:p>
    <w:p w14:paraId="13D84CA9" w14:textId="77777777" w:rsidR="00742ED6" w:rsidRDefault="00742ED6" w:rsidP="003015BE">
      <w:pPr>
        <w:spacing w:before="160" w:after="60"/>
        <w:rPr>
          <w:b/>
          <w:bCs/>
          <w:color w:val="2E5FA3"/>
          <w:sz w:val="24"/>
          <w:szCs w:val="24"/>
        </w:rPr>
      </w:pPr>
    </w:p>
    <w:p w14:paraId="193ECF3E" w14:textId="77777777" w:rsidR="00742ED6" w:rsidRDefault="00742ED6" w:rsidP="003015BE">
      <w:pPr>
        <w:spacing w:before="160" w:after="60"/>
        <w:rPr>
          <w:b/>
          <w:bCs/>
          <w:color w:val="2E5FA3"/>
          <w:sz w:val="24"/>
          <w:szCs w:val="24"/>
        </w:rPr>
      </w:pPr>
    </w:p>
    <w:p w14:paraId="592F0FAB" w14:textId="77777777" w:rsidR="00742ED6" w:rsidRDefault="00742ED6" w:rsidP="003015BE">
      <w:pPr>
        <w:spacing w:before="160" w:after="60"/>
        <w:rPr>
          <w:b/>
          <w:bCs/>
          <w:color w:val="2E5FA3"/>
          <w:sz w:val="24"/>
          <w:szCs w:val="24"/>
        </w:rPr>
      </w:pPr>
    </w:p>
    <w:p w14:paraId="262F881F" w14:textId="77777777" w:rsidR="00742ED6" w:rsidRDefault="00742ED6" w:rsidP="003015BE">
      <w:pPr>
        <w:spacing w:before="160" w:after="60"/>
        <w:rPr>
          <w:b/>
          <w:bCs/>
          <w:color w:val="2E5FA3"/>
          <w:sz w:val="24"/>
          <w:szCs w:val="24"/>
        </w:rPr>
      </w:pPr>
    </w:p>
    <w:p w14:paraId="26ABD64D" w14:textId="7D790130" w:rsidR="003015BE" w:rsidRDefault="003015BE" w:rsidP="003015BE">
      <w:pPr>
        <w:spacing w:before="160" w:after="60"/>
      </w:pPr>
      <w:r>
        <w:rPr>
          <w:b/>
          <w:bCs/>
          <w:color w:val="2E5FA3"/>
          <w:sz w:val="24"/>
          <w:szCs w:val="24"/>
        </w:rPr>
        <w:lastRenderedPageBreak/>
        <w:t>Proposed Institutional Team</w:t>
      </w:r>
    </w:p>
    <w:p w14:paraId="052CE723" w14:textId="77777777" w:rsidR="003015BE" w:rsidRDefault="003015BE">
      <w:pPr>
        <w:spacing w:before="80"/>
      </w:pPr>
    </w:p>
    <w:p w14:paraId="46D4BC46" w14:textId="028BFFB2" w:rsidR="00F800B3" w:rsidRDefault="00D44A35">
      <w:pPr>
        <w:pBdr>
          <w:left w:val="single" w:sz="12" w:space="6" w:color="2E5FA3"/>
        </w:pBdr>
        <w:shd w:val="clear" w:color="auto" w:fill="EEF3FA"/>
        <w:spacing w:before="80" w:after="80"/>
        <w:ind w:left="160" w:right="160"/>
      </w:pPr>
      <w:r>
        <w:rPr>
          <w:i/>
          <w:iCs/>
          <w:color w:val="444444"/>
          <w:sz w:val="20"/>
          <w:szCs w:val="20"/>
        </w:rPr>
        <w:t>Institutional teams should include 5–8 members, led by a cabinet-level leader. Required roles are marked with ★; recommended roles are marked with ○. We recognize that institutions vary in structure</w:t>
      </w:r>
      <w:r w:rsidR="003015BE">
        <w:rPr>
          <w:i/>
          <w:iCs/>
          <w:color w:val="444444"/>
          <w:sz w:val="20"/>
          <w:szCs w:val="20"/>
        </w:rPr>
        <w:t xml:space="preserve">, so </w:t>
      </w:r>
      <w:r>
        <w:rPr>
          <w:i/>
          <w:iCs/>
          <w:color w:val="444444"/>
          <w:sz w:val="20"/>
          <w:szCs w:val="20"/>
        </w:rPr>
        <w:t>if a required role does not exist at your institution, please note the equivalent and explain below.</w:t>
      </w:r>
    </w:p>
    <w:p w14:paraId="6A479C4C" w14:textId="77777777" w:rsidR="00F800B3" w:rsidRDefault="00F800B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680"/>
        <w:gridCol w:w="2480"/>
      </w:tblGrid>
      <w:tr w:rsidR="001C3D75" w14:paraId="037D8296" w14:textId="77777777" w:rsidTr="1EE383E4">
        <w:trPr>
          <w:tblHeader/>
        </w:trPr>
        <w:tc>
          <w:tcPr>
            <w:tcW w:w="4200" w:type="dxa"/>
            <w:shd w:val="clear" w:color="auto" w:fill="1F3864"/>
            <w:tcMar>
              <w:top w:w="80" w:type="dxa"/>
              <w:left w:w="120" w:type="dxa"/>
              <w:bottom w:w="80" w:type="dxa"/>
              <w:right w:w="120" w:type="dxa"/>
            </w:tcMar>
          </w:tcPr>
          <w:p w14:paraId="58440BC4" w14:textId="77777777" w:rsidR="00F800B3" w:rsidRDefault="00D44A35">
            <w:r>
              <w:rPr>
                <w:b/>
                <w:bCs/>
                <w:color w:val="FFFFFF"/>
                <w:sz w:val="20"/>
                <w:szCs w:val="20"/>
              </w:rPr>
              <w:t>Team Role</w:t>
            </w:r>
          </w:p>
        </w:tc>
        <w:tc>
          <w:tcPr>
            <w:tcW w:w="2680" w:type="dxa"/>
            <w:shd w:val="clear" w:color="auto" w:fill="1F3864"/>
            <w:tcMar>
              <w:top w:w="80" w:type="dxa"/>
              <w:left w:w="120" w:type="dxa"/>
              <w:bottom w:w="80" w:type="dxa"/>
              <w:right w:w="120" w:type="dxa"/>
            </w:tcMar>
          </w:tcPr>
          <w:p w14:paraId="45843738" w14:textId="77777777" w:rsidR="00F800B3" w:rsidRDefault="00D44A35">
            <w:r>
              <w:rPr>
                <w:b/>
                <w:bCs/>
                <w:color w:val="FFFFFF"/>
                <w:sz w:val="20"/>
                <w:szCs w:val="20"/>
              </w:rPr>
              <w:t>Name &amp; Title</w:t>
            </w:r>
          </w:p>
        </w:tc>
        <w:tc>
          <w:tcPr>
            <w:tcW w:w="2480" w:type="dxa"/>
            <w:shd w:val="clear" w:color="auto" w:fill="1F3864"/>
            <w:tcMar>
              <w:top w:w="80" w:type="dxa"/>
              <w:left w:w="120" w:type="dxa"/>
              <w:bottom w:w="80" w:type="dxa"/>
              <w:right w:w="120" w:type="dxa"/>
            </w:tcMar>
          </w:tcPr>
          <w:p w14:paraId="7C473116" w14:textId="77777777" w:rsidR="00F800B3" w:rsidRDefault="00D44A35">
            <w:r>
              <w:rPr>
                <w:b/>
                <w:bCs/>
                <w:color w:val="FFFFFF"/>
                <w:sz w:val="20"/>
                <w:szCs w:val="20"/>
              </w:rPr>
              <w:t>Email</w:t>
            </w:r>
          </w:p>
        </w:tc>
      </w:tr>
      <w:tr w:rsidR="001C3D75" w14:paraId="182FA0CB" w14:textId="77777777" w:rsidTr="1EE383E4">
        <w:tc>
          <w:tcPr>
            <w:tcW w:w="4200" w:type="dxa"/>
            <w:tcMar>
              <w:top w:w="80" w:type="dxa"/>
              <w:left w:w="120" w:type="dxa"/>
              <w:bottom w:w="80" w:type="dxa"/>
              <w:right w:w="120" w:type="dxa"/>
            </w:tcMar>
          </w:tcPr>
          <w:p w14:paraId="748DDEFF" w14:textId="7B1F701B" w:rsidR="00F800B3" w:rsidRDefault="00D44A35">
            <w:r>
              <w:rPr>
                <w:sz w:val="20"/>
                <w:szCs w:val="20"/>
              </w:rPr>
              <w:t>Cabinet-Level Leader (President</w:t>
            </w:r>
            <w:r w:rsidR="007E686C">
              <w:rPr>
                <w:sz w:val="20"/>
                <w:szCs w:val="20"/>
              </w:rPr>
              <w:t>/Chancellor</w:t>
            </w:r>
            <w:r>
              <w:rPr>
                <w:sz w:val="20"/>
                <w:szCs w:val="20"/>
              </w:rPr>
              <w:t xml:space="preserve">, Provost, or Academic VP) ★ </w:t>
            </w:r>
          </w:p>
        </w:tc>
        <w:tc>
          <w:tcPr>
            <w:tcW w:w="2680" w:type="dxa"/>
            <w:tcMar>
              <w:top w:w="80" w:type="dxa"/>
              <w:left w:w="120" w:type="dxa"/>
              <w:bottom w:w="300" w:type="dxa"/>
              <w:right w:w="120" w:type="dxa"/>
            </w:tcMar>
          </w:tcPr>
          <w:p w14:paraId="01B0D008" w14:textId="77777777" w:rsidR="00F800B3" w:rsidRDefault="00F800B3"/>
        </w:tc>
        <w:tc>
          <w:tcPr>
            <w:tcW w:w="2480" w:type="dxa"/>
            <w:tcMar>
              <w:top w:w="80" w:type="dxa"/>
              <w:left w:w="120" w:type="dxa"/>
              <w:bottom w:w="300" w:type="dxa"/>
              <w:right w:w="120" w:type="dxa"/>
            </w:tcMar>
          </w:tcPr>
          <w:p w14:paraId="77296BE4" w14:textId="77777777" w:rsidR="00F800B3" w:rsidRDefault="00F800B3"/>
        </w:tc>
      </w:tr>
      <w:tr w:rsidR="001C3D75" w14:paraId="66824384" w14:textId="77777777" w:rsidTr="1EE383E4">
        <w:tc>
          <w:tcPr>
            <w:tcW w:w="4200" w:type="dxa"/>
            <w:tcMar>
              <w:top w:w="80" w:type="dxa"/>
              <w:left w:w="120" w:type="dxa"/>
              <w:bottom w:w="80" w:type="dxa"/>
              <w:right w:w="120" w:type="dxa"/>
            </w:tcMar>
          </w:tcPr>
          <w:p w14:paraId="70650834" w14:textId="128D8B94" w:rsidR="00F800B3" w:rsidRDefault="1EE383E4">
            <w:r w:rsidRPr="1EE383E4">
              <w:rPr>
                <w:sz w:val="20"/>
                <w:szCs w:val="20"/>
              </w:rPr>
              <w:t xml:space="preserve">Academic Program(s) Leader (e.g. Associate VP of Academic Affairs, Vice Provost, Dean of Undergraduate Studies, </w:t>
            </w:r>
            <w:proofErr w:type="gramStart"/>
            <w:r w:rsidRPr="1EE383E4">
              <w:rPr>
                <w:sz w:val="20"/>
                <w:szCs w:val="20"/>
              </w:rPr>
              <w:t>etc.)★</w:t>
            </w:r>
            <w:proofErr w:type="gramEnd"/>
            <w:r w:rsidRPr="1EE383E4">
              <w:rPr>
                <w:sz w:val="20"/>
                <w:szCs w:val="20"/>
              </w:rPr>
              <w:t xml:space="preserve"> </w:t>
            </w:r>
          </w:p>
        </w:tc>
        <w:tc>
          <w:tcPr>
            <w:tcW w:w="2680" w:type="dxa"/>
            <w:tcMar>
              <w:top w:w="80" w:type="dxa"/>
              <w:left w:w="120" w:type="dxa"/>
              <w:bottom w:w="300" w:type="dxa"/>
              <w:right w:w="120" w:type="dxa"/>
            </w:tcMar>
          </w:tcPr>
          <w:p w14:paraId="6EF8974B" w14:textId="77777777" w:rsidR="00F800B3" w:rsidRDefault="00F800B3"/>
        </w:tc>
        <w:tc>
          <w:tcPr>
            <w:tcW w:w="2480" w:type="dxa"/>
            <w:tcMar>
              <w:top w:w="80" w:type="dxa"/>
              <w:left w:w="120" w:type="dxa"/>
              <w:bottom w:w="300" w:type="dxa"/>
              <w:right w:w="120" w:type="dxa"/>
            </w:tcMar>
          </w:tcPr>
          <w:p w14:paraId="51D1015F" w14:textId="77777777" w:rsidR="00F800B3" w:rsidRDefault="00F800B3"/>
        </w:tc>
      </w:tr>
      <w:tr w:rsidR="001C3D75" w14:paraId="7521B8F7" w14:textId="77777777" w:rsidTr="1EE383E4">
        <w:tc>
          <w:tcPr>
            <w:tcW w:w="4200" w:type="dxa"/>
            <w:tcMar>
              <w:top w:w="80" w:type="dxa"/>
              <w:left w:w="120" w:type="dxa"/>
              <w:bottom w:w="80" w:type="dxa"/>
              <w:right w:w="120" w:type="dxa"/>
            </w:tcMar>
          </w:tcPr>
          <w:p w14:paraId="42261FB7" w14:textId="71644713" w:rsidR="00F800B3" w:rsidRDefault="64F8FE41">
            <w:r w:rsidRPr="64F8FE41">
              <w:rPr>
                <w:sz w:val="20"/>
                <w:szCs w:val="20"/>
              </w:rPr>
              <w:t xml:space="preserve">Director of Career Services and/or WIL Programs ★ </w:t>
            </w:r>
          </w:p>
        </w:tc>
        <w:tc>
          <w:tcPr>
            <w:tcW w:w="2680" w:type="dxa"/>
            <w:tcMar>
              <w:top w:w="80" w:type="dxa"/>
              <w:left w:w="120" w:type="dxa"/>
              <w:bottom w:w="300" w:type="dxa"/>
              <w:right w:w="120" w:type="dxa"/>
            </w:tcMar>
          </w:tcPr>
          <w:p w14:paraId="4B9B7949" w14:textId="77777777" w:rsidR="00F800B3" w:rsidRDefault="00F800B3"/>
        </w:tc>
        <w:tc>
          <w:tcPr>
            <w:tcW w:w="2480" w:type="dxa"/>
            <w:tcMar>
              <w:top w:w="80" w:type="dxa"/>
              <w:left w:w="120" w:type="dxa"/>
              <w:bottom w:w="300" w:type="dxa"/>
              <w:right w:w="120" w:type="dxa"/>
            </w:tcMar>
          </w:tcPr>
          <w:p w14:paraId="2688BC23" w14:textId="77777777" w:rsidR="00F800B3" w:rsidRDefault="00F800B3"/>
        </w:tc>
      </w:tr>
      <w:tr w:rsidR="001C3D75" w14:paraId="096A9C41" w14:textId="77777777" w:rsidTr="1EE383E4">
        <w:tc>
          <w:tcPr>
            <w:tcW w:w="4200" w:type="dxa"/>
            <w:tcMar>
              <w:top w:w="80" w:type="dxa"/>
              <w:left w:w="120" w:type="dxa"/>
              <w:bottom w:w="80" w:type="dxa"/>
              <w:right w:w="120" w:type="dxa"/>
            </w:tcMar>
          </w:tcPr>
          <w:p w14:paraId="1849EED0" w14:textId="16AEF712" w:rsidR="00F800B3" w:rsidRDefault="00D44A35">
            <w:r>
              <w:rPr>
                <w:sz w:val="20"/>
                <w:szCs w:val="20"/>
              </w:rPr>
              <w:t xml:space="preserve">Faculty Champion (representative from a key academic program) ★ </w:t>
            </w:r>
          </w:p>
        </w:tc>
        <w:tc>
          <w:tcPr>
            <w:tcW w:w="2680" w:type="dxa"/>
            <w:tcMar>
              <w:top w:w="80" w:type="dxa"/>
              <w:left w:w="120" w:type="dxa"/>
              <w:bottom w:w="300" w:type="dxa"/>
              <w:right w:w="120" w:type="dxa"/>
            </w:tcMar>
          </w:tcPr>
          <w:p w14:paraId="675B5FAD" w14:textId="77777777" w:rsidR="00F800B3" w:rsidRDefault="00F800B3"/>
        </w:tc>
        <w:tc>
          <w:tcPr>
            <w:tcW w:w="2480" w:type="dxa"/>
            <w:tcMar>
              <w:top w:w="80" w:type="dxa"/>
              <w:left w:w="120" w:type="dxa"/>
              <w:bottom w:w="300" w:type="dxa"/>
              <w:right w:w="120" w:type="dxa"/>
            </w:tcMar>
          </w:tcPr>
          <w:p w14:paraId="37725FF1" w14:textId="77777777" w:rsidR="00F800B3" w:rsidRDefault="00F800B3"/>
        </w:tc>
      </w:tr>
      <w:tr w:rsidR="001C3D75" w14:paraId="4198AD83" w14:textId="77777777" w:rsidTr="1EE383E4">
        <w:tc>
          <w:tcPr>
            <w:tcW w:w="4200" w:type="dxa"/>
            <w:tcMar>
              <w:top w:w="80" w:type="dxa"/>
              <w:left w:w="120" w:type="dxa"/>
              <w:bottom w:w="80" w:type="dxa"/>
              <w:right w:w="120" w:type="dxa"/>
            </w:tcMar>
          </w:tcPr>
          <w:p w14:paraId="1EE223FB" w14:textId="7C9B9299" w:rsidR="00F800B3" w:rsidRDefault="00D44A35">
            <w:r>
              <w:rPr>
                <w:sz w:val="20"/>
                <w:szCs w:val="20"/>
              </w:rPr>
              <w:t>Director, Student Success or Advising ○</w:t>
            </w:r>
          </w:p>
        </w:tc>
        <w:tc>
          <w:tcPr>
            <w:tcW w:w="2680" w:type="dxa"/>
            <w:tcMar>
              <w:top w:w="80" w:type="dxa"/>
              <w:left w:w="120" w:type="dxa"/>
              <w:bottom w:w="300" w:type="dxa"/>
              <w:right w:w="120" w:type="dxa"/>
            </w:tcMar>
          </w:tcPr>
          <w:p w14:paraId="648B0C27" w14:textId="77777777" w:rsidR="00F800B3" w:rsidRDefault="00F800B3"/>
        </w:tc>
        <w:tc>
          <w:tcPr>
            <w:tcW w:w="2480" w:type="dxa"/>
            <w:tcMar>
              <w:top w:w="80" w:type="dxa"/>
              <w:left w:w="120" w:type="dxa"/>
              <w:bottom w:w="300" w:type="dxa"/>
              <w:right w:w="120" w:type="dxa"/>
            </w:tcMar>
          </w:tcPr>
          <w:p w14:paraId="455E284F" w14:textId="77777777" w:rsidR="00F800B3" w:rsidRDefault="00F800B3"/>
        </w:tc>
      </w:tr>
      <w:tr w:rsidR="001C3D75" w14:paraId="1115D08B" w14:textId="77777777" w:rsidTr="1EE383E4">
        <w:tc>
          <w:tcPr>
            <w:tcW w:w="4200" w:type="dxa"/>
            <w:tcMar>
              <w:top w:w="80" w:type="dxa"/>
              <w:left w:w="120" w:type="dxa"/>
              <w:bottom w:w="80" w:type="dxa"/>
              <w:right w:w="120" w:type="dxa"/>
            </w:tcMar>
          </w:tcPr>
          <w:p w14:paraId="6D0E3611" w14:textId="7753EBDE" w:rsidR="00F800B3" w:rsidRDefault="00D44A35">
            <w:r>
              <w:rPr>
                <w:sz w:val="20"/>
                <w:szCs w:val="20"/>
              </w:rPr>
              <w:t xml:space="preserve">Director, Industry Partnerships or Workforce Development ○ </w:t>
            </w:r>
          </w:p>
        </w:tc>
        <w:tc>
          <w:tcPr>
            <w:tcW w:w="2680" w:type="dxa"/>
            <w:tcMar>
              <w:top w:w="80" w:type="dxa"/>
              <w:left w:w="120" w:type="dxa"/>
              <w:bottom w:w="300" w:type="dxa"/>
              <w:right w:w="120" w:type="dxa"/>
            </w:tcMar>
          </w:tcPr>
          <w:p w14:paraId="553D08CF" w14:textId="77777777" w:rsidR="00F800B3" w:rsidRDefault="00F800B3"/>
        </w:tc>
        <w:tc>
          <w:tcPr>
            <w:tcW w:w="2480" w:type="dxa"/>
            <w:tcMar>
              <w:top w:w="80" w:type="dxa"/>
              <w:left w:w="120" w:type="dxa"/>
              <w:bottom w:w="300" w:type="dxa"/>
              <w:right w:w="120" w:type="dxa"/>
            </w:tcMar>
          </w:tcPr>
          <w:p w14:paraId="2187D6ED" w14:textId="77777777" w:rsidR="00F800B3" w:rsidRDefault="00F800B3"/>
        </w:tc>
      </w:tr>
      <w:tr w:rsidR="001C3D75" w14:paraId="28E8F14A" w14:textId="77777777" w:rsidTr="1EE383E4">
        <w:tc>
          <w:tcPr>
            <w:tcW w:w="4200" w:type="dxa"/>
            <w:tcMar>
              <w:top w:w="80" w:type="dxa"/>
              <w:left w:w="120" w:type="dxa"/>
              <w:bottom w:w="80" w:type="dxa"/>
              <w:right w:w="120" w:type="dxa"/>
            </w:tcMar>
          </w:tcPr>
          <w:p w14:paraId="6C27E68B" w14:textId="698CA041" w:rsidR="00F800B3" w:rsidRDefault="00D44A35">
            <w:r>
              <w:rPr>
                <w:sz w:val="20"/>
                <w:szCs w:val="20"/>
              </w:rPr>
              <w:t xml:space="preserve">Student Representative or Recent Graduate ○ </w:t>
            </w:r>
          </w:p>
        </w:tc>
        <w:tc>
          <w:tcPr>
            <w:tcW w:w="2680" w:type="dxa"/>
            <w:tcMar>
              <w:top w:w="80" w:type="dxa"/>
              <w:left w:w="120" w:type="dxa"/>
              <w:bottom w:w="300" w:type="dxa"/>
              <w:right w:w="120" w:type="dxa"/>
            </w:tcMar>
          </w:tcPr>
          <w:p w14:paraId="51C459DB" w14:textId="77777777" w:rsidR="00F800B3" w:rsidRDefault="00F800B3"/>
        </w:tc>
        <w:tc>
          <w:tcPr>
            <w:tcW w:w="2480" w:type="dxa"/>
            <w:tcMar>
              <w:top w:w="80" w:type="dxa"/>
              <w:left w:w="120" w:type="dxa"/>
              <w:bottom w:w="300" w:type="dxa"/>
              <w:right w:w="120" w:type="dxa"/>
            </w:tcMar>
          </w:tcPr>
          <w:p w14:paraId="74B80E08" w14:textId="77777777" w:rsidR="00F800B3" w:rsidRDefault="00F800B3"/>
        </w:tc>
      </w:tr>
      <w:tr w:rsidR="001C3D75" w14:paraId="65D77033" w14:textId="77777777" w:rsidTr="1EE383E4">
        <w:tc>
          <w:tcPr>
            <w:tcW w:w="4200" w:type="dxa"/>
            <w:tcMar>
              <w:top w:w="80" w:type="dxa"/>
              <w:left w:w="120" w:type="dxa"/>
              <w:bottom w:w="80" w:type="dxa"/>
              <w:right w:w="120" w:type="dxa"/>
            </w:tcMar>
          </w:tcPr>
          <w:p w14:paraId="02C17311" w14:textId="77777777" w:rsidR="00F800B3" w:rsidRDefault="00D44A35">
            <w:r>
              <w:rPr>
                <w:sz w:val="20"/>
                <w:szCs w:val="20"/>
              </w:rPr>
              <w:t>Additional Team Member (optional)</w:t>
            </w:r>
          </w:p>
        </w:tc>
        <w:tc>
          <w:tcPr>
            <w:tcW w:w="2680" w:type="dxa"/>
            <w:tcMar>
              <w:top w:w="80" w:type="dxa"/>
              <w:left w:w="120" w:type="dxa"/>
              <w:bottom w:w="300" w:type="dxa"/>
              <w:right w:w="120" w:type="dxa"/>
            </w:tcMar>
          </w:tcPr>
          <w:p w14:paraId="5267F27F" w14:textId="77777777" w:rsidR="00F800B3" w:rsidRDefault="00F800B3"/>
        </w:tc>
        <w:tc>
          <w:tcPr>
            <w:tcW w:w="2480" w:type="dxa"/>
            <w:tcMar>
              <w:top w:w="80" w:type="dxa"/>
              <w:left w:w="120" w:type="dxa"/>
              <w:bottom w:w="300" w:type="dxa"/>
              <w:right w:w="120" w:type="dxa"/>
            </w:tcMar>
          </w:tcPr>
          <w:p w14:paraId="78CEC921" w14:textId="77777777" w:rsidR="00F800B3" w:rsidRDefault="00F800B3"/>
        </w:tc>
      </w:tr>
    </w:tbl>
    <w:p w14:paraId="134F06B1" w14:textId="77777777" w:rsidR="00F800B3" w:rsidRDefault="00F800B3">
      <w:pPr>
        <w:spacing w:before="80"/>
      </w:pPr>
    </w:p>
    <w:p w14:paraId="59C07C15" w14:textId="29900E5F" w:rsidR="00F800B3" w:rsidRDefault="00D44A35">
      <w:pPr>
        <w:spacing w:before="140" w:after="40"/>
      </w:pPr>
      <w:r>
        <w:rPr>
          <w:b/>
          <w:bCs/>
          <w:color w:val="1F3864"/>
        </w:rPr>
        <w:t>Briefly describe how you assembled this team.</w:t>
      </w:r>
    </w:p>
    <w:p w14:paraId="48650BEB" w14:textId="77777777" w:rsidR="00F800B3" w:rsidRDefault="00D44A35">
      <w:pPr>
        <w:spacing w:before="60" w:after="60"/>
      </w:pPr>
      <w:r>
        <w:t>Why are these individuals well-positioned to lead WIL expansion at your institution? Is there anything about your team’s composition we should understand?</w:t>
      </w:r>
    </w:p>
    <w:p w14:paraId="67870B7D" w14:textId="77777777" w:rsidR="00F800B3" w:rsidRDefault="00F800B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3D75" w14:paraId="130B9BD0" w14:textId="77777777">
        <w:tc>
          <w:tcPr>
            <w:tcW w:w="9360" w:type="dxa"/>
            <w:tcMar>
              <w:top w:w="120" w:type="dxa"/>
              <w:left w:w="160" w:type="dxa"/>
              <w:bottom w:w="400" w:type="dxa"/>
              <w:right w:w="160" w:type="dxa"/>
            </w:tcMar>
          </w:tcPr>
          <w:p w14:paraId="42D0A170" w14:textId="77777777" w:rsidR="00F800B3" w:rsidRDefault="00F800B3"/>
        </w:tc>
      </w:tr>
    </w:tbl>
    <w:p w14:paraId="7534FFE1" w14:textId="77777777" w:rsidR="00F800B3" w:rsidRDefault="00F800B3">
      <w:pPr>
        <w:spacing w:before="200"/>
      </w:pPr>
    </w:p>
    <w:p w14:paraId="7BFECE8F" w14:textId="77777777" w:rsidR="00742ED6" w:rsidRDefault="00742ED6">
      <w:pPr>
        <w:spacing w:before="200"/>
      </w:pPr>
    </w:p>
    <w:p w14:paraId="3AD28329" w14:textId="77777777" w:rsidR="00742ED6" w:rsidRDefault="00742ED6">
      <w:pPr>
        <w:spacing w:before="200"/>
      </w:pPr>
    </w:p>
    <w:p w14:paraId="7C754D98" w14:textId="77777777" w:rsidR="00742ED6" w:rsidRDefault="00742ED6">
      <w:pPr>
        <w:spacing w:before="200"/>
      </w:pPr>
    </w:p>
    <w:p w14:paraId="13E8A328" w14:textId="77777777" w:rsidR="00742ED6" w:rsidRDefault="00742ED6">
      <w:pPr>
        <w:spacing w:before="200"/>
      </w:pPr>
    </w:p>
    <w:p w14:paraId="4EC91B9E" w14:textId="44C82E8E" w:rsidR="00F800B3" w:rsidRDefault="00D44A35">
      <w:pPr>
        <w:shd w:val="clear" w:color="auto" w:fill="1F3864"/>
        <w:spacing w:after="80"/>
        <w:ind w:left="160" w:right="160"/>
      </w:pPr>
      <w:r>
        <w:rPr>
          <w:b/>
          <w:bCs/>
          <w:color w:val="FFFFFF"/>
          <w:sz w:val="26"/>
          <w:szCs w:val="26"/>
        </w:rPr>
        <w:t xml:space="preserve">  SECTION </w:t>
      </w:r>
      <w:proofErr w:type="gramStart"/>
      <w:r w:rsidR="0052418B">
        <w:rPr>
          <w:b/>
          <w:bCs/>
          <w:color w:val="FFFFFF"/>
          <w:sz w:val="26"/>
          <w:szCs w:val="26"/>
        </w:rPr>
        <w:t>4</w:t>
      </w:r>
      <w:r>
        <w:rPr>
          <w:b/>
          <w:bCs/>
          <w:color w:val="FFFFFF"/>
          <w:sz w:val="26"/>
          <w:szCs w:val="26"/>
        </w:rPr>
        <w:t xml:space="preserve">  |</w:t>
      </w:r>
      <w:proofErr w:type="gramEnd"/>
      <w:r>
        <w:rPr>
          <w:b/>
          <w:bCs/>
          <w:color w:val="FFFFFF"/>
          <w:sz w:val="26"/>
          <w:szCs w:val="26"/>
        </w:rPr>
        <w:t xml:space="preserve">  READINESS</w:t>
      </w:r>
      <w:r w:rsidR="003015BE">
        <w:rPr>
          <w:b/>
          <w:bCs/>
          <w:color w:val="FFFFFF"/>
          <w:sz w:val="26"/>
          <w:szCs w:val="26"/>
        </w:rPr>
        <w:t xml:space="preserve"> &amp; COMMITMENT</w:t>
      </w:r>
    </w:p>
    <w:p w14:paraId="14356A65" w14:textId="77777777" w:rsidR="00F800B3" w:rsidRDefault="00F800B3">
      <w:pPr>
        <w:spacing w:before="80"/>
      </w:pPr>
    </w:p>
    <w:p w14:paraId="603F710B" w14:textId="26B18F90" w:rsidR="00F800B3" w:rsidRDefault="00D44A35">
      <w:pPr>
        <w:spacing w:before="140" w:after="40"/>
      </w:pPr>
      <w:r>
        <w:rPr>
          <w:b/>
          <w:bCs/>
          <w:color w:val="1F3864"/>
        </w:rPr>
        <w:t>Presidential Commitment</w:t>
      </w:r>
    </w:p>
    <w:p w14:paraId="7CE0905A" w14:textId="7E6FEBAF" w:rsidR="00F800B3" w:rsidRDefault="00D44A35">
      <w:pPr>
        <w:spacing w:before="60" w:after="60"/>
      </w:pPr>
      <w:r>
        <w:t>If selected, are you prepared to serve as</w:t>
      </w:r>
      <w:r w:rsidR="003015BE">
        <w:t xml:space="preserve"> or empower</w:t>
      </w:r>
      <w:r>
        <w:t xml:space="preserve"> the executive sponsor of this initiative? This includes attending the kickoff and in-person convening, engaging regularly with </w:t>
      </w:r>
      <w:r w:rsidR="0052418B">
        <w:t>the</w:t>
      </w:r>
      <w:r>
        <w:t xml:space="preserve"> team, visibly championing WIL expansion on campus</w:t>
      </w:r>
      <w:r w:rsidR="0052418B">
        <w:t>, as well as actively aligning stakeholders, advancing the Lab’s recommendations and removing implementation barriers</w:t>
      </w:r>
      <w:r>
        <w:t>. Please describe what that commitment would look like in practice and any context that would be helpful for us to know.</w:t>
      </w:r>
    </w:p>
    <w:p w14:paraId="4E0ED956" w14:textId="77777777" w:rsidR="00F800B3" w:rsidRDefault="00F800B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3D75" w14:paraId="502DD99C" w14:textId="77777777">
        <w:tc>
          <w:tcPr>
            <w:tcW w:w="9360" w:type="dxa"/>
            <w:tcMar>
              <w:top w:w="120" w:type="dxa"/>
              <w:left w:w="160" w:type="dxa"/>
              <w:bottom w:w="400" w:type="dxa"/>
              <w:right w:w="160" w:type="dxa"/>
            </w:tcMar>
          </w:tcPr>
          <w:p w14:paraId="2AB48FD6" w14:textId="77777777" w:rsidR="00F800B3" w:rsidRDefault="00F800B3"/>
        </w:tc>
      </w:tr>
    </w:tbl>
    <w:p w14:paraId="27DF57A5" w14:textId="77777777" w:rsidR="00F800B3" w:rsidRDefault="00F800B3">
      <w:pPr>
        <w:spacing w:before="80"/>
      </w:pPr>
    </w:p>
    <w:p w14:paraId="3E321801" w14:textId="04DD4BE0" w:rsidR="00F800B3" w:rsidRDefault="00D44A35">
      <w:pPr>
        <w:spacing w:before="140" w:after="40"/>
      </w:pPr>
      <w:r>
        <w:rPr>
          <w:b/>
          <w:bCs/>
          <w:color w:val="1F3864"/>
        </w:rPr>
        <w:t>Current Employer Relationships</w:t>
      </w:r>
    </w:p>
    <w:p w14:paraId="22CFA7A5" w14:textId="77777777" w:rsidR="00F800B3" w:rsidRDefault="00D44A35">
      <w:pPr>
        <w:spacing w:before="60" w:after="60"/>
      </w:pPr>
      <w:r>
        <w:t>How would you describe your institution’s current relationships with employers around WIL? For example, are they primarily transactional (career fairs, job postings) or more strategic (co-designed programs, advisory roles, curriculum partnerships)? Where do you see the greatest opportunity to grow?</w:t>
      </w:r>
    </w:p>
    <w:p w14:paraId="135F3126" w14:textId="77777777" w:rsidR="00F800B3" w:rsidRDefault="00F800B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3D75" w14:paraId="0C5363AE" w14:textId="77777777">
        <w:tc>
          <w:tcPr>
            <w:tcW w:w="9360" w:type="dxa"/>
            <w:tcMar>
              <w:top w:w="120" w:type="dxa"/>
              <w:left w:w="160" w:type="dxa"/>
              <w:bottom w:w="400" w:type="dxa"/>
              <w:right w:w="160" w:type="dxa"/>
            </w:tcMar>
          </w:tcPr>
          <w:p w14:paraId="45ED27DE" w14:textId="77777777" w:rsidR="00F800B3" w:rsidRDefault="00F800B3"/>
        </w:tc>
      </w:tr>
    </w:tbl>
    <w:p w14:paraId="66ACB09A" w14:textId="77777777" w:rsidR="00F800B3" w:rsidRDefault="00F800B3">
      <w:pPr>
        <w:spacing w:before="80"/>
      </w:pPr>
    </w:p>
    <w:p w14:paraId="09FFEAD3" w14:textId="38B48B92" w:rsidR="00F800B3" w:rsidRDefault="00D44A35">
      <w:pPr>
        <w:spacing w:before="140" w:after="40"/>
      </w:pPr>
      <w:r>
        <w:rPr>
          <w:b/>
          <w:bCs/>
          <w:color w:val="1F3864"/>
        </w:rPr>
        <w:t>Capacity &amp; Context</w:t>
      </w:r>
    </w:p>
    <w:p w14:paraId="39E06330" w14:textId="6D0925E6" w:rsidR="00F800B3" w:rsidRDefault="00D44A35">
      <w:pPr>
        <w:spacing w:before="60" w:after="60"/>
      </w:pPr>
      <w:r>
        <w:t>Is there anything BHEF should know about your institution’s</w:t>
      </w:r>
      <w:r w:rsidR="0052418B">
        <w:t xml:space="preserve"> capacity and</w:t>
      </w:r>
      <w:r>
        <w:t xml:space="preserve"> context as we consider fit and tailor our support? This might include structural factors, competing priorities, upcoming transitions, or anything else that will shape how your team engages.</w:t>
      </w:r>
    </w:p>
    <w:p w14:paraId="704A0DAA" w14:textId="77777777" w:rsidR="00F800B3" w:rsidRDefault="00F800B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3D75" w14:paraId="53452537" w14:textId="77777777">
        <w:tc>
          <w:tcPr>
            <w:tcW w:w="9360" w:type="dxa"/>
            <w:tcMar>
              <w:top w:w="120" w:type="dxa"/>
              <w:left w:w="160" w:type="dxa"/>
              <w:bottom w:w="400" w:type="dxa"/>
              <w:right w:w="160" w:type="dxa"/>
            </w:tcMar>
          </w:tcPr>
          <w:p w14:paraId="63FB1BCE" w14:textId="77777777" w:rsidR="00F800B3" w:rsidRDefault="00F800B3"/>
        </w:tc>
      </w:tr>
    </w:tbl>
    <w:p w14:paraId="00F5BB53" w14:textId="77777777" w:rsidR="00F800B3" w:rsidRDefault="00F800B3">
      <w:pPr>
        <w:spacing w:before="120"/>
      </w:pPr>
    </w:p>
    <w:p w14:paraId="6E1FFD0C" w14:textId="77777777" w:rsidR="00F800B3" w:rsidRDefault="00D44A35">
      <w:pPr>
        <w:spacing w:before="60" w:after="40"/>
      </w:pPr>
      <w:r>
        <w:rPr>
          <w:b/>
          <w:bCs/>
          <w:color w:val="1F3864"/>
          <w:sz w:val="28"/>
          <w:szCs w:val="28"/>
        </w:rPr>
        <w:t>Thank You</w:t>
      </w:r>
    </w:p>
    <w:p w14:paraId="5C3BA168" w14:textId="77777777" w:rsidR="00F800B3" w:rsidRDefault="00D44A35">
      <w:pPr>
        <w:spacing w:before="60" w:after="60"/>
      </w:pPr>
      <w:r>
        <w:t>We appreciate your interest in the Institutional Capacity Expansion Lab and look forward to learning more about your institution’s vision for WIL. We will be in touch regarding next steps.</w:t>
      </w:r>
    </w:p>
    <w:p w14:paraId="76ABF54F" w14:textId="77777777" w:rsidR="00F800B3" w:rsidRDefault="00F800B3">
      <w:pPr>
        <w:spacing w:before="60"/>
      </w:pPr>
    </w:p>
    <w:p w14:paraId="3DEED26F" w14:textId="723DB15B" w:rsidR="00F800B3" w:rsidRDefault="00D44A35">
      <w:pPr>
        <w:spacing w:before="60" w:after="60"/>
      </w:pPr>
      <w:r>
        <w:rPr>
          <w:b/>
          <w:bCs/>
        </w:rPr>
        <w:t xml:space="preserve">Questions? Contact </w:t>
      </w:r>
      <w:r w:rsidR="008544EC">
        <w:rPr>
          <w:b/>
          <w:bCs/>
        </w:rPr>
        <w:t xml:space="preserve">Candace Williams, Senior Director, Solutions </w:t>
      </w:r>
      <w:proofErr w:type="gramStart"/>
      <w:r w:rsidR="008544EC">
        <w:rPr>
          <w:b/>
          <w:bCs/>
        </w:rPr>
        <w:t>Lab</w:t>
      </w:r>
      <w:r>
        <w:rPr>
          <w:b/>
          <w:bCs/>
        </w:rPr>
        <w:t xml:space="preserve">  |</w:t>
      </w:r>
      <w:proofErr w:type="gramEnd"/>
      <w:r>
        <w:rPr>
          <w:b/>
          <w:bCs/>
        </w:rPr>
        <w:t xml:space="preserve">  </w:t>
      </w:r>
      <w:r w:rsidR="008544EC">
        <w:rPr>
          <w:b/>
          <w:bCs/>
        </w:rPr>
        <w:t xml:space="preserve">candace.williams@bhef.com </w:t>
      </w:r>
    </w:p>
    <w:p w14:paraId="0E0BB42F" w14:textId="41B2CF77" w:rsidR="00F800B3" w:rsidRDefault="00F800B3">
      <w:pPr>
        <w:spacing w:before="60" w:after="60"/>
      </w:pPr>
    </w:p>
    <w:sectPr w:rsidR="00F800B3" w:rsidSect="00771C1D">
      <w:headerReference w:type="default" r:id="rId8"/>
      <w:footerReference w:type="default" r:id="rId9"/>
      <w:headerReference w:type="first" r:id="rId10"/>
      <w:pgSz w:w="12240" w:h="15840"/>
      <w:pgMar w:top="1080" w:right="1260" w:bottom="1080" w:left="126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05A5" w14:textId="77777777" w:rsidR="001507E5" w:rsidRDefault="001507E5">
      <w:r>
        <w:separator/>
      </w:r>
    </w:p>
  </w:endnote>
  <w:endnote w:type="continuationSeparator" w:id="0">
    <w:p w14:paraId="70EDBDFE" w14:textId="77777777" w:rsidR="001507E5" w:rsidRDefault="0015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D6D" w14:textId="32C5AC5C" w:rsidR="00F800B3" w:rsidRDefault="00D44A35">
    <w:pPr>
      <w:pBdr>
        <w:top w:val="single" w:sz="4" w:space="2" w:color="2E5FA3"/>
      </w:pBdr>
      <w:spacing w:before="80"/>
    </w:pPr>
    <w:r>
      <w:rPr>
        <w:color w:val="888888"/>
        <w:sz w:val="18"/>
        <w:szCs w:val="18"/>
      </w:rPr>
      <w:t xml:space="preserve">BHEF Institutional Capacity Expansion </w:t>
    </w:r>
    <w:proofErr w:type="gramStart"/>
    <w:r>
      <w:rPr>
        <w:color w:val="888888"/>
        <w:sz w:val="18"/>
        <w:szCs w:val="18"/>
      </w:rPr>
      <w:t>Lab  |</w:t>
    </w:r>
    <w:proofErr w:type="gramEnd"/>
    <w:r>
      <w:rPr>
        <w:color w:val="888888"/>
        <w:sz w:val="18"/>
        <w:szCs w:val="18"/>
      </w:rPr>
      <w:t xml:space="preserve">  Presidential Application 2026–2027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5A58" w14:textId="77777777" w:rsidR="001507E5" w:rsidRDefault="001507E5">
      <w:r>
        <w:separator/>
      </w:r>
    </w:p>
  </w:footnote>
  <w:footnote w:type="continuationSeparator" w:id="0">
    <w:p w14:paraId="4E797D2A" w14:textId="77777777" w:rsidR="001507E5" w:rsidRDefault="00150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4BEC" w14:textId="4E4B1DDE" w:rsidR="00F800B3" w:rsidRDefault="00D44A35">
    <w:pPr>
      <w:pBdr>
        <w:bottom w:val="single" w:sz="4" w:space="2" w:color="2E5FA3"/>
      </w:pBdr>
      <w:spacing w:after="80"/>
    </w:pPr>
    <w:r>
      <w:rPr>
        <w:color w:val="888888"/>
        <w:sz w:val="18"/>
        <w:szCs w:val="18"/>
      </w:rPr>
      <w:t xml:space="preserve">BUSINESS-HIGHER EDUCATION </w:t>
    </w:r>
    <w:proofErr w:type="gramStart"/>
    <w:r>
      <w:rPr>
        <w:color w:val="888888"/>
        <w:sz w:val="18"/>
        <w:szCs w:val="18"/>
      </w:rPr>
      <w:t>FORUM  |</w:t>
    </w:r>
    <w:proofErr w:type="gramEnd"/>
    <w:r>
      <w:rPr>
        <w:color w:val="888888"/>
        <w:sz w:val="18"/>
        <w:szCs w:val="18"/>
      </w:rPr>
      <w:t xml:space="preserve">  ECMC Foundation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3265" w14:textId="086B9D95" w:rsidR="00771C1D" w:rsidRDefault="00771C1D" w:rsidP="00771C1D">
    <w:pPr>
      <w:pStyle w:val="Header"/>
      <w:jc w:val="center"/>
    </w:pPr>
    <w:r>
      <w:rPr>
        <w:noProof/>
      </w:rPr>
      <w:drawing>
        <wp:inline distT="0" distB="0" distL="0" distR="0" wp14:anchorId="3560D109" wp14:editId="6606380D">
          <wp:extent cx="2390775" cy="904447"/>
          <wp:effectExtent l="0" t="0" r="0" b="0"/>
          <wp:docPr id="1013412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76" cy="9073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F655A"/>
    <w:multiLevelType w:val="hybridMultilevel"/>
    <w:tmpl w:val="D0781AA6"/>
    <w:lvl w:ilvl="0" w:tplc="B7780C52">
      <w:start w:val="1"/>
      <w:numFmt w:val="bullet"/>
      <w:lvlText w:val="•"/>
      <w:lvlJc w:val="left"/>
      <w:pPr>
        <w:ind w:left="640" w:hanging="320"/>
      </w:pPr>
    </w:lvl>
    <w:lvl w:ilvl="1" w:tplc="E0F2223C">
      <w:numFmt w:val="decimal"/>
      <w:lvlText w:val=""/>
      <w:lvlJc w:val="left"/>
    </w:lvl>
    <w:lvl w:ilvl="2" w:tplc="DC16C4A4">
      <w:numFmt w:val="decimal"/>
      <w:lvlText w:val=""/>
      <w:lvlJc w:val="left"/>
    </w:lvl>
    <w:lvl w:ilvl="3" w:tplc="6972A922">
      <w:numFmt w:val="decimal"/>
      <w:lvlText w:val=""/>
      <w:lvlJc w:val="left"/>
    </w:lvl>
    <w:lvl w:ilvl="4" w:tplc="FD148198">
      <w:numFmt w:val="decimal"/>
      <w:lvlText w:val=""/>
      <w:lvlJc w:val="left"/>
    </w:lvl>
    <w:lvl w:ilvl="5" w:tplc="41F253A2">
      <w:numFmt w:val="decimal"/>
      <w:lvlText w:val=""/>
      <w:lvlJc w:val="left"/>
    </w:lvl>
    <w:lvl w:ilvl="6" w:tplc="FBF6C982">
      <w:numFmt w:val="decimal"/>
      <w:lvlText w:val=""/>
      <w:lvlJc w:val="left"/>
    </w:lvl>
    <w:lvl w:ilvl="7" w:tplc="2876C0AE">
      <w:numFmt w:val="decimal"/>
      <w:lvlText w:val=""/>
      <w:lvlJc w:val="left"/>
    </w:lvl>
    <w:lvl w:ilvl="8" w:tplc="88F82DF2">
      <w:numFmt w:val="decimal"/>
      <w:lvlText w:val=""/>
      <w:lvlJc w:val="left"/>
    </w:lvl>
  </w:abstractNum>
  <w:abstractNum w:abstractNumId="1" w15:restartNumberingAfterBreak="0">
    <w:nsid w:val="76DE7870"/>
    <w:multiLevelType w:val="hybridMultilevel"/>
    <w:tmpl w:val="EBC8F51E"/>
    <w:lvl w:ilvl="0" w:tplc="0ECADA2E">
      <w:start w:val="1"/>
      <w:numFmt w:val="bullet"/>
      <w:lvlText w:val="●"/>
      <w:lvlJc w:val="left"/>
      <w:pPr>
        <w:ind w:left="720" w:hanging="360"/>
      </w:pPr>
    </w:lvl>
    <w:lvl w:ilvl="1" w:tplc="D634294C">
      <w:start w:val="1"/>
      <w:numFmt w:val="bullet"/>
      <w:lvlText w:val="○"/>
      <w:lvlJc w:val="left"/>
      <w:pPr>
        <w:ind w:left="1440" w:hanging="360"/>
      </w:pPr>
    </w:lvl>
    <w:lvl w:ilvl="2" w:tplc="B7B09474">
      <w:start w:val="1"/>
      <w:numFmt w:val="bullet"/>
      <w:lvlText w:val="■"/>
      <w:lvlJc w:val="left"/>
      <w:pPr>
        <w:ind w:left="2160" w:hanging="360"/>
      </w:pPr>
    </w:lvl>
    <w:lvl w:ilvl="3" w:tplc="CD3871BC">
      <w:start w:val="1"/>
      <w:numFmt w:val="bullet"/>
      <w:lvlText w:val="●"/>
      <w:lvlJc w:val="left"/>
      <w:pPr>
        <w:ind w:left="2880" w:hanging="360"/>
      </w:pPr>
    </w:lvl>
    <w:lvl w:ilvl="4" w:tplc="C59468D6">
      <w:start w:val="1"/>
      <w:numFmt w:val="bullet"/>
      <w:lvlText w:val="○"/>
      <w:lvlJc w:val="left"/>
      <w:pPr>
        <w:ind w:left="3600" w:hanging="360"/>
      </w:pPr>
    </w:lvl>
    <w:lvl w:ilvl="5" w:tplc="3A0410B6">
      <w:start w:val="1"/>
      <w:numFmt w:val="bullet"/>
      <w:lvlText w:val="■"/>
      <w:lvlJc w:val="left"/>
      <w:pPr>
        <w:ind w:left="4320" w:hanging="360"/>
      </w:pPr>
    </w:lvl>
    <w:lvl w:ilvl="6" w:tplc="6950B62E">
      <w:start w:val="1"/>
      <w:numFmt w:val="bullet"/>
      <w:lvlText w:val="●"/>
      <w:lvlJc w:val="left"/>
      <w:pPr>
        <w:ind w:left="5040" w:hanging="360"/>
      </w:pPr>
    </w:lvl>
    <w:lvl w:ilvl="7" w:tplc="A38C9E5C">
      <w:start w:val="1"/>
      <w:numFmt w:val="bullet"/>
      <w:lvlText w:val="●"/>
      <w:lvlJc w:val="left"/>
      <w:pPr>
        <w:ind w:left="5760" w:hanging="360"/>
      </w:pPr>
    </w:lvl>
    <w:lvl w:ilvl="8" w:tplc="B938427E">
      <w:start w:val="1"/>
      <w:numFmt w:val="bullet"/>
      <w:lvlText w:val="●"/>
      <w:lvlJc w:val="left"/>
      <w:pPr>
        <w:ind w:left="6480" w:hanging="360"/>
      </w:pPr>
    </w:lvl>
  </w:abstractNum>
  <w:num w:numId="1" w16cid:durableId="362708413">
    <w:abstractNumId w:val="1"/>
    <w:lvlOverride w:ilvl="0">
      <w:startOverride w:val="1"/>
    </w:lvlOverride>
  </w:num>
  <w:num w:numId="2" w16cid:durableId="3191894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0B3"/>
    <w:rsid w:val="00041745"/>
    <w:rsid w:val="0010673F"/>
    <w:rsid w:val="001507E5"/>
    <w:rsid w:val="0016416B"/>
    <w:rsid w:val="001C3D75"/>
    <w:rsid w:val="00205953"/>
    <w:rsid w:val="0023622D"/>
    <w:rsid w:val="003015BE"/>
    <w:rsid w:val="00306919"/>
    <w:rsid w:val="0052418B"/>
    <w:rsid w:val="005C5C25"/>
    <w:rsid w:val="006A31A6"/>
    <w:rsid w:val="00742ED6"/>
    <w:rsid w:val="00771C1D"/>
    <w:rsid w:val="00790312"/>
    <w:rsid w:val="007E686C"/>
    <w:rsid w:val="008544EC"/>
    <w:rsid w:val="00936845"/>
    <w:rsid w:val="0094179B"/>
    <w:rsid w:val="009E376E"/>
    <w:rsid w:val="00B30B4E"/>
    <w:rsid w:val="00BC688B"/>
    <w:rsid w:val="00BD17F3"/>
    <w:rsid w:val="00D04F3B"/>
    <w:rsid w:val="00D44A35"/>
    <w:rsid w:val="00D67C66"/>
    <w:rsid w:val="00EB69E6"/>
    <w:rsid w:val="00EF392C"/>
    <w:rsid w:val="00EF7C74"/>
    <w:rsid w:val="00F77BB6"/>
    <w:rsid w:val="00F800B3"/>
    <w:rsid w:val="076D3E82"/>
    <w:rsid w:val="1EE383E4"/>
    <w:rsid w:val="5F6F6328"/>
    <w:rsid w:val="64F8FE41"/>
    <w:rsid w:val="7850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EBE1"/>
  <w15:docId w15:val="{F9A2F0C0-F20B-47C2-84F6-2DDB1E5C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95959"/>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3622D"/>
    <w:rPr>
      <w:color w:val="605E5C"/>
      <w:shd w:val="clear" w:color="auto" w:fill="E1DFDD"/>
    </w:rPr>
  </w:style>
  <w:style w:type="paragraph" w:styleId="Header">
    <w:name w:val="header"/>
    <w:basedOn w:val="Normal"/>
    <w:link w:val="HeaderChar"/>
    <w:uiPriority w:val="99"/>
    <w:unhideWhenUsed/>
    <w:rsid w:val="003015BE"/>
    <w:pPr>
      <w:tabs>
        <w:tab w:val="center" w:pos="4680"/>
        <w:tab w:val="right" w:pos="9360"/>
      </w:tabs>
    </w:pPr>
  </w:style>
  <w:style w:type="character" w:customStyle="1" w:styleId="HeaderChar">
    <w:name w:val="Header Char"/>
    <w:basedOn w:val="DefaultParagraphFont"/>
    <w:link w:val="Header"/>
    <w:uiPriority w:val="99"/>
    <w:rsid w:val="003015BE"/>
  </w:style>
  <w:style w:type="paragraph" w:styleId="Footer">
    <w:name w:val="footer"/>
    <w:basedOn w:val="Normal"/>
    <w:link w:val="FooterChar"/>
    <w:uiPriority w:val="99"/>
    <w:unhideWhenUsed/>
    <w:rsid w:val="003015BE"/>
    <w:pPr>
      <w:tabs>
        <w:tab w:val="center" w:pos="4680"/>
        <w:tab w:val="right" w:pos="9360"/>
      </w:tabs>
    </w:pPr>
  </w:style>
  <w:style w:type="character" w:customStyle="1" w:styleId="FooterChar">
    <w:name w:val="Footer Char"/>
    <w:basedOn w:val="DefaultParagraphFont"/>
    <w:link w:val="Footer"/>
    <w:uiPriority w:val="99"/>
    <w:rsid w:val="003015BE"/>
  </w:style>
  <w:style w:type="paragraph" w:styleId="Revision">
    <w:name w:val="Revision"/>
    <w:hidden/>
    <w:uiPriority w:val="99"/>
    <w:semiHidden/>
    <w:rsid w:val="00BD17F3"/>
  </w:style>
  <w:style w:type="character" w:styleId="CommentReference">
    <w:name w:val="annotation reference"/>
    <w:basedOn w:val="DefaultParagraphFont"/>
    <w:uiPriority w:val="99"/>
    <w:semiHidden/>
    <w:unhideWhenUsed/>
    <w:rsid w:val="007E686C"/>
    <w:rPr>
      <w:sz w:val="16"/>
      <w:szCs w:val="16"/>
    </w:rPr>
  </w:style>
  <w:style w:type="paragraph" w:styleId="CommentText">
    <w:name w:val="annotation text"/>
    <w:basedOn w:val="Normal"/>
    <w:link w:val="CommentTextChar"/>
    <w:uiPriority w:val="99"/>
    <w:unhideWhenUsed/>
    <w:rsid w:val="007E686C"/>
    <w:rPr>
      <w:sz w:val="20"/>
      <w:szCs w:val="20"/>
    </w:rPr>
  </w:style>
  <w:style w:type="character" w:customStyle="1" w:styleId="CommentTextChar">
    <w:name w:val="Comment Text Char"/>
    <w:basedOn w:val="DefaultParagraphFont"/>
    <w:link w:val="CommentText"/>
    <w:uiPriority w:val="99"/>
    <w:rsid w:val="007E686C"/>
    <w:rPr>
      <w:sz w:val="20"/>
      <w:szCs w:val="20"/>
    </w:rPr>
  </w:style>
  <w:style w:type="paragraph" w:styleId="CommentSubject">
    <w:name w:val="annotation subject"/>
    <w:basedOn w:val="CommentText"/>
    <w:next w:val="CommentText"/>
    <w:link w:val="CommentSubjectChar"/>
    <w:uiPriority w:val="99"/>
    <w:semiHidden/>
    <w:unhideWhenUsed/>
    <w:rsid w:val="007E686C"/>
    <w:rPr>
      <w:b/>
      <w:bCs/>
    </w:rPr>
  </w:style>
  <w:style w:type="character" w:customStyle="1" w:styleId="CommentSubjectChar">
    <w:name w:val="Comment Subject Char"/>
    <w:basedOn w:val="CommentTextChar"/>
    <w:link w:val="CommentSubject"/>
    <w:uiPriority w:val="99"/>
    <w:semiHidden/>
    <w:rsid w:val="007E68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ndace.williams@bhe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1676</Words>
  <Characters>9555</Characters>
  <Application>Microsoft Office Word</Application>
  <DocSecurity>0</DocSecurity>
  <Lines>79</Lines>
  <Paragraphs>22</Paragraphs>
  <ScaleCrop>false</ScaleCrop>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Candace Williams</cp:lastModifiedBy>
  <cp:revision>4</cp:revision>
  <dcterms:created xsi:type="dcterms:W3CDTF">2026-06-29T17:48:00Z</dcterms:created>
  <dcterms:modified xsi:type="dcterms:W3CDTF">2026-06-30T12:51:00Z</dcterms:modified>
</cp:coreProperties>
</file>